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ПРОПОЗИЦІЇ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Мех Л. Г.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tbl>
      <w:tblPr>
        <w:tblStyle w:val="ae"/>
        <w:tblW w:w="94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7"/>
        <w:gridCol w:w="2210"/>
        <w:gridCol w:w="2672"/>
        <w:gridCol w:w="2613"/>
        <w:gridCol w:w="1529"/>
      </w:tblGrid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Документ</w:t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Місце в документі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Пропозиція виправити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Причина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</w:tr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Вимоги до видавничого оформлення, поліграфічного і технічного виконання видань</w:t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3.1. Побудову (структуру та склад) міжнародного стандартного </w:t>
            </w:r>
            <w:r>
              <w:rPr>
                <w:highlight w:val="yellow"/>
                <w:lang w:val="uk-UA"/>
              </w:rPr>
              <w:t>номеру</w:t>
            </w:r>
            <w:r>
              <w:rPr>
                <w:lang w:val="uk-UA"/>
              </w:rPr>
              <w:t xml:space="preserve"> книги (ISBN), правила його розміщення, надання й використання у неперіодичному виданні визначає Національний стандарт України «Міжнародний стандартний номер книги (ISBN). ДСТУ ISO 2108:2022 (ISO 2018:2017, IDT)», </w:t>
            </w:r>
            <w:r>
              <w:rPr>
                <w:highlight w:val="yellow"/>
                <w:lang w:val="uk-UA"/>
              </w:rPr>
              <w:t>прийнятого</w:t>
            </w:r>
            <w:r>
              <w:rPr>
                <w:lang w:val="uk-UA"/>
              </w:rPr>
              <w:t xml:space="preserve"> наказом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3.1. Побудову (структуру та склад) міжнародного стандартного </w:t>
            </w:r>
            <w:r>
              <w:rPr>
                <w:b/>
                <w:bCs/>
                <w:lang w:val="uk-UA"/>
              </w:rPr>
              <w:t>номера</w:t>
            </w:r>
            <w:r>
              <w:rPr>
                <w:lang w:val="uk-UA"/>
              </w:rPr>
              <w:t xml:space="preserve"> книги (ISBN), правила його розміщення, надання й використання у неперіодичному виданні визначає Національний стандарт України «Міжнародний стандартний номер книги (ISBN). ДСТУ ISO 2108:2022 (ISO 2018:2017, IDT)», </w:t>
            </w:r>
            <w:r>
              <w:rPr>
                <w:b/>
                <w:bCs/>
                <w:lang w:val="uk-UA"/>
              </w:rPr>
              <w:t>прийнятий</w:t>
            </w:r>
            <w:r>
              <w:rPr>
                <w:lang w:val="uk-UA"/>
              </w:rPr>
              <w:t xml:space="preserve"> наказом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3.2. Побудову (структуру та склад) міжнародного стандартного </w:t>
            </w:r>
            <w:r>
              <w:rPr>
                <w:highlight w:val="yellow"/>
                <w:lang w:val="uk-UA"/>
              </w:rPr>
              <w:t>номеру</w:t>
            </w:r>
            <w:r>
              <w:rPr>
                <w:lang w:val="uk-UA"/>
              </w:rPr>
              <w:t xml:space="preserve"> нотного видання (ISMN), правила його розміщення, надання й використання у нотному виданні визначає Національний стандарт України «Видання. Міжнародна стандартна нумерація нотних видань. ДСТУ 7343:2013», </w:t>
            </w:r>
            <w:r>
              <w:rPr>
                <w:highlight w:val="yellow"/>
                <w:lang w:val="uk-UA"/>
              </w:rPr>
              <w:t>прийнятого</w:t>
            </w:r>
            <w:r>
              <w:rPr>
                <w:lang w:val="uk-UA"/>
              </w:rPr>
              <w:t xml:space="preserve"> наказом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3.2. Побудову (структуру та склад) міжнародного стандартного </w:t>
            </w:r>
            <w:r>
              <w:rPr>
                <w:b/>
                <w:bCs/>
                <w:lang w:val="uk-UA"/>
              </w:rPr>
              <w:t xml:space="preserve">номера </w:t>
            </w:r>
            <w:r>
              <w:rPr>
                <w:lang w:val="uk-UA"/>
              </w:rPr>
              <w:t xml:space="preserve">нотного видання (ISMN), правила його розміщення, надання й використання у нотному виданні визначає Національний стандарт України «Видання. Міжнародна стандартна нумерація нотних видань. ДСТУ 7343:2013», </w:t>
            </w:r>
            <w:r>
              <w:rPr>
                <w:b/>
                <w:bCs/>
                <w:lang w:val="uk-UA"/>
              </w:rPr>
              <w:t>прийнятий</w:t>
            </w:r>
            <w:r>
              <w:rPr>
                <w:lang w:val="uk-UA"/>
              </w:rPr>
              <w:t xml:space="preserve"> наказом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3.3. Побудову (структуру та склад) міжнародного стандартного серійного </w:t>
            </w:r>
            <w:r>
              <w:rPr>
                <w:highlight w:val="yellow"/>
                <w:lang w:val="uk-UA"/>
              </w:rPr>
              <w:t>номеру</w:t>
            </w:r>
            <w:r>
              <w:rPr>
                <w:lang w:val="uk-UA"/>
              </w:rPr>
              <w:t xml:space="preserve"> (ISSN), правила його розміщення, надання й використання у серіальному виданні визначає Національний стандарт України «Міжнародний стандартний серійний номер (ISSN). ДСТУ ISO 3297:2018 (ISO 3297:2017, IDT)», </w:t>
            </w:r>
            <w:r>
              <w:rPr>
                <w:highlight w:val="yellow"/>
                <w:lang w:val="uk-UA"/>
              </w:rPr>
              <w:t>прийнятого</w:t>
            </w:r>
            <w:r>
              <w:rPr>
                <w:lang w:val="uk-UA"/>
              </w:rPr>
              <w:t xml:space="preserve"> наказом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3.3. Побудову (структуру та склад) міжнародного стандартного серійного </w:t>
            </w:r>
            <w:r>
              <w:rPr>
                <w:b/>
                <w:bCs/>
                <w:lang w:val="uk-UA"/>
              </w:rPr>
              <w:t xml:space="preserve">номера </w:t>
            </w:r>
            <w:r>
              <w:rPr>
                <w:lang w:val="uk-UA"/>
              </w:rPr>
              <w:t xml:space="preserve">(ISSN), правила його розміщення, надання й використання у серіальному виданні визначає Національний стандарт України «Міжнародний стандартний серійний номер (ISSN). ДСТУ ISO 3297:2018 (ISO 3297:2017, IDT)», </w:t>
            </w:r>
            <w:r>
              <w:rPr>
                <w:b/>
                <w:bCs/>
                <w:lang w:val="uk-UA"/>
              </w:rPr>
              <w:t>прийнятий</w:t>
            </w:r>
            <w:r>
              <w:rPr>
                <w:lang w:val="uk-UA"/>
              </w:rPr>
              <w:t xml:space="preserve"> наказом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4. Класифікаційний індекс Універсальної десяткової класифікації (УДК) визначається відповідно до таблиць Національного </w:t>
            </w:r>
            <w:r>
              <w:rPr>
                <w:highlight w:val="yellow"/>
                <w:lang w:val="uk-UA"/>
              </w:rPr>
              <w:t>еталону</w:t>
            </w:r>
            <w:r>
              <w:rPr>
                <w:lang w:val="uk-UA"/>
              </w:rPr>
              <w:t xml:space="preserve"> УДК, правила ведення яких встановлені Національним стандартом України «Система стандартів з інформації, бібліотечної та видавничої справи. Універсальна десяткова класифікація. Структура, правила ведення та індексування. ДСТУ 6096:2009», </w:t>
            </w:r>
            <w:r>
              <w:rPr>
                <w:highlight w:val="yellow"/>
                <w:lang w:val="uk-UA"/>
              </w:rPr>
              <w:t>прийнятого</w:t>
            </w:r>
            <w:r>
              <w:rPr>
                <w:lang w:val="uk-UA"/>
              </w:rPr>
              <w:t xml:space="preserve"> наказом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4. Класифікаційний індекс Універсальної десяткової класифікації (УДК) визначається відповідно до таблиць Національного </w:t>
            </w:r>
            <w:r>
              <w:rPr>
                <w:b/>
                <w:bCs/>
                <w:lang w:val="uk-UA"/>
              </w:rPr>
              <w:t xml:space="preserve">еталона </w:t>
            </w:r>
            <w:r>
              <w:rPr>
                <w:lang w:val="uk-UA"/>
              </w:rPr>
              <w:t xml:space="preserve">УДК, правила ведення яких встановлені Національним стандартом України «Система стандартів з інформації, бібліотечної та видавничої справи. Універсальна десяткова класифікація. Структура, правила ведення та індексування. ДСТУ 6096:2009», </w:t>
            </w:r>
            <w:r>
              <w:rPr>
                <w:b/>
                <w:bCs/>
                <w:lang w:val="uk-UA"/>
              </w:rPr>
              <w:t>прийнятим</w:t>
            </w:r>
            <w:r>
              <w:rPr>
                <w:lang w:val="uk-UA"/>
              </w:rPr>
              <w:t xml:space="preserve"> наказом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5. Формати книжкових і журнальних видань, за винятком альбомів, атласів, книжок-іграшок, нотних, а також мініатюрних, унікальних та експериментальних видань, мають визначатися відповідно до таблиць, встановлених до форматів книжкових видань, і до таблиць, встановлених до форматів журнальних видань, які містяться у Національному стандарті України «Видання книжкові та журнальні. Вимоги до форматів. ДСТУ 4489:2005», </w:t>
            </w:r>
            <w:r>
              <w:rPr>
                <w:highlight w:val="yellow"/>
                <w:lang w:val="uk-UA"/>
              </w:rPr>
              <w:t>прийнятого</w:t>
            </w:r>
            <w:r>
              <w:rPr>
                <w:lang w:val="uk-UA"/>
              </w:rPr>
              <w:t xml:space="preserve"> наказом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5. Формати книжкових і журнальних видань, за винятком альбомів, атласів, книжок-іграшок, нотних, а також мініатюрних, унікальних та експериментальних видань, мають визначатися відповідно до таблиць, встановлених до форматів книжкових видань, і до таблиць, встановлених до форматів журнальних видань, які містяться у Національному стандарті України «Видання книжкові та журнальні. Вимоги до форматів. ДСТУ 4489:2005», </w:t>
            </w:r>
            <w:r>
              <w:rPr>
                <w:b/>
                <w:bCs/>
                <w:lang w:val="uk-UA"/>
              </w:rPr>
              <w:t>прийнятому</w:t>
            </w:r>
            <w:r>
              <w:rPr>
                <w:lang w:val="uk-UA"/>
              </w:rPr>
              <w:t xml:space="preserve"> наказом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6. При використанні бібліографічних посилань у виданнях, їх склад, структура та розміщення визначаються </w:t>
            </w:r>
            <w:r>
              <w:rPr>
                <w:highlight w:val="yellow"/>
                <w:lang w:val="uk-UA"/>
              </w:rPr>
              <w:t>відповідно Національного</w:t>
            </w:r>
            <w:r>
              <w:rPr>
                <w:lang w:val="uk-UA"/>
              </w:rPr>
              <w:t xml:space="preserve"> стандарту України 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6. При використанні бібліографічних посилань у виданнях, їх склад, структура та розміщення визначаються відповідно </w:t>
            </w:r>
            <w:r>
              <w:rPr>
                <w:b/>
                <w:bCs/>
                <w:lang w:val="uk-UA"/>
              </w:rPr>
              <w:t>до</w:t>
            </w:r>
            <w:r>
              <w:rPr>
                <w:lang w:val="uk-UA"/>
              </w:rPr>
              <w:t xml:space="preserve"> Національного стандарту України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</w:tc>
      </w:tr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7. Структура та видавниче оформлення структурних елементів інформаційних видань мають відповідати Національному стандарту України «Видання інформаційні. Загальні вимоги. ДСТУ 4826:2007», </w:t>
            </w:r>
            <w:r>
              <w:rPr>
                <w:highlight w:val="yellow"/>
                <w:lang w:val="uk-UA"/>
              </w:rPr>
              <w:t>прийнятого</w:t>
            </w:r>
            <w:r>
              <w:rPr>
                <w:lang w:val="uk-UA"/>
              </w:rPr>
              <w:t xml:space="preserve"> наказом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7. Структура та видавниче оформлення структурних елементів інформаційних видань мають відповідати Національному стандарту України «Видання інформаційні. Загальні вимоги. ДСТУ 4826:2007», </w:t>
            </w:r>
            <w:r>
              <w:rPr>
                <w:b/>
                <w:bCs/>
                <w:lang w:val="uk-UA"/>
              </w:rPr>
              <w:t>прийнятому</w:t>
            </w:r>
            <w:r>
              <w:rPr>
                <w:lang w:val="uk-UA"/>
              </w:rPr>
              <w:t xml:space="preserve"> наказом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</w:tc>
      </w:tr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Передавання міжнародних стандартних номерів, наданих Книжковою палатою України суб’єктам видавничої справи (видавцям) та суб’єктам у сфері медіа для використання у практичній діяльності, </w:t>
            </w:r>
            <w:r>
              <w:rPr>
                <w:highlight w:val="yellow"/>
                <w:lang w:val="uk-UA"/>
              </w:rPr>
              <w:t>іншими</w:t>
            </w:r>
            <w:r>
              <w:rPr>
                <w:lang w:val="uk-UA"/>
              </w:rPr>
              <w:t xml:space="preserve"> юридичним або фізичним особам не допускається.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Передавання міжнародних стандартних номерів, наданих Книжковою палатою України суб’єктам видавничої справи (видавцям) та суб’єктам у сфері медіа для використання у практичній діяльності, </w:t>
            </w:r>
            <w:r>
              <w:rPr>
                <w:b/>
                <w:bCs/>
                <w:lang w:val="uk-UA"/>
              </w:rPr>
              <w:t>іншим</w:t>
            </w:r>
            <w:r>
              <w:rPr>
                <w:lang w:val="uk-UA"/>
              </w:rPr>
              <w:t xml:space="preserve"> юридичним або фізичним особам не допускається.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</w:tc>
      </w:tr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ПОЯСНЮВАЛЬНА ЗАПИСКА</w:t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З огляду на зазначене</w:t>
            </w:r>
            <w:r>
              <w:rPr>
                <w:highlight w:val="yellow"/>
                <w:lang w:val="uk-UA"/>
              </w:rPr>
              <w:t>,</w:t>
            </w:r>
            <w:r>
              <w:rPr>
                <w:lang w:val="uk-UA"/>
              </w:rPr>
              <w:t xml:space="preserve"> існує необхідність </w:t>
            </w:r>
            <w:r>
              <w:rPr>
                <w:highlight w:val="yellow"/>
                <w:lang w:val="uk-UA"/>
              </w:rPr>
              <w:t>щодо</w:t>
            </w:r>
            <w:r>
              <w:rPr>
                <w:lang w:val="uk-UA"/>
              </w:rPr>
              <w:t xml:space="preserve"> прийняття відповідного нормативно-правового акта.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З огляду на зазначене </w:t>
            </w:r>
            <w:r>
              <w:rPr>
                <w:b/>
                <w:bCs/>
                <w:lang w:val="uk-UA"/>
              </w:rPr>
              <w:t xml:space="preserve">є </w:t>
            </w:r>
            <w:r>
              <w:rPr>
                <w:lang w:val="uk-UA"/>
              </w:rPr>
              <w:t xml:space="preserve">необхідність </w:t>
            </w:r>
            <w:r>
              <w:rPr>
                <w:b/>
                <w:bCs/>
                <w:lang w:val="uk-UA"/>
              </w:rPr>
              <w:t>прийняти відповідний нормативно-правовий акт</w:t>
            </w:r>
            <w:r>
              <w:rPr>
                <w:lang w:val="uk-UA"/>
              </w:rPr>
              <w:t>.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Стиль і правопис. Тут "з огляду на зазначене" вказує на причину, і кома не ставиться.</w:t>
            </w:r>
          </w:p>
        </w:tc>
      </w:tr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Реалізація акта не матиме </w:t>
            </w:r>
            <w:r>
              <w:rPr>
                <w:highlight w:val="yellow"/>
                <w:lang w:val="uk-UA"/>
              </w:rPr>
              <w:t>вплив</w:t>
            </w:r>
            <w:r>
              <w:rPr>
                <w:lang w:val="uk-UA"/>
              </w:rPr>
              <w:t xml:space="preserve"> на ринкове середовище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Реалізація акта не матиме </w:t>
            </w:r>
            <w:r>
              <w:rPr>
                <w:b/>
                <w:bCs/>
                <w:lang w:val="uk-UA"/>
              </w:rPr>
              <w:t>впливу</w:t>
            </w:r>
            <w:r>
              <w:rPr>
                <w:lang w:val="uk-UA"/>
              </w:rPr>
              <w:t xml:space="preserve"> на ринкове середовище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З погляду граматики правильно буде "не матиме впливу".</w:t>
            </w:r>
          </w:p>
        </w:tc>
      </w:tr>
      <w:tr>
        <w:trPr/>
        <w:tc>
          <w:tcPr>
            <w:tcW w:w="4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Реалізація </w:t>
            </w:r>
            <w:r>
              <w:rPr>
                <w:highlight w:val="yellow"/>
                <w:lang w:val="uk-UA"/>
              </w:rPr>
              <w:t>акту</w:t>
            </w:r>
            <w:r>
              <w:rPr>
                <w:lang w:val="uk-UA"/>
              </w:rPr>
              <w:t xml:space="preserve"> сприятиме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встановленню обов’язковості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виконання вимог</w:t>
            </w:r>
          </w:p>
        </w:tc>
        <w:tc>
          <w:tcPr>
            <w:tcW w:w="2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Реалізація </w:t>
            </w:r>
            <w:r>
              <w:rPr>
                <w:b/>
                <w:bCs/>
                <w:lang w:val="uk-UA"/>
              </w:rPr>
              <w:t>акта</w:t>
            </w:r>
            <w:r>
              <w:rPr>
                <w:lang w:val="uk-UA"/>
              </w:rPr>
              <w:t xml:space="preserve"> сприятиме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встановленню обов’язковості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виконання вимог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Вимоги правопису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UA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434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UA" w:eastAsia="en-US" w:bidi="ar-SA"/>
      <w14:ligatures w14:val="standardContextual"/>
    </w:rPr>
  </w:style>
  <w:style w:type="paragraph" w:styleId="1">
    <w:name w:val="Heading 1"/>
    <w:basedOn w:val="Normal"/>
    <w:link w:val="10"/>
    <w:uiPriority w:val="9"/>
    <w:qFormat/>
    <w:rsid w:val="009030ba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9030ba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link w:val="30"/>
    <w:uiPriority w:val="9"/>
    <w:semiHidden/>
    <w:unhideWhenUsed/>
    <w:qFormat/>
    <w:rsid w:val="009030b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4">
    <w:name w:val="Heading 4"/>
    <w:basedOn w:val="Normal"/>
    <w:link w:val="40"/>
    <w:uiPriority w:val="9"/>
    <w:semiHidden/>
    <w:unhideWhenUsed/>
    <w:qFormat/>
    <w:rsid w:val="009030b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5">
    <w:name w:val="Heading 5"/>
    <w:basedOn w:val="Normal"/>
    <w:link w:val="50"/>
    <w:uiPriority w:val="9"/>
    <w:semiHidden/>
    <w:unhideWhenUsed/>
    <w:qFormat/>
    <w:rsid w:val="009030b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6">
    <w:name w:val="Heading 6"/>
    <w:basedOn w:val="Normal"/>
    <w:link w:val="60"/>
    <w:uiPriority w:val="9"/>
    <w:semiHidden/>
    <w:unhideWhenUsed/>
    <w:qFormat/>
    <w:rsid w:val="009030b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link w:val="70"/>
    <w:uiPriority w:val="9"/>
    <w:semiHidden/>
    <w:unhideWhenUsed/>
    <w:qFormat/>
    <w:rsid w:val="009030b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link w:val="80"/>
    <w:uiPriority w:val="9"/>
    <w:semiHidden/>
    <w:unhideWhenUsed/>
    <w:qFormat/>
    <w:rsid w:val="009030b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link w:val="90"/>
    <w:uiPriority w:val="9"/>
    <w:semiHidden/>
    <w:unhideWhenUsed/>
    <w:qFormat/>
    <w:rsid w:val="009030b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030b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030b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9030ba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030ba"/>
    <w:rPr>
      <w:rFonts w:eastAsia="" w:cs="" w:cstheme="majorBidi" w:eastAsiaTheme="majorEastAsia"/>
      <w:i/>
      <w:iCs/>
      <w:color w:val="2E74B5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9030ba"/>
    <w:rPr>
      <w:rFonts w:eastAsia="" w:cs="" w:cstheme="majorBidi" w:eastAsiaTheme="majorEastAsia"/>
      <w:color w:val="2E74B5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9030ba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9030ba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9030ba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9030ba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Назва Знак"/>
    <w:basedOn w:val="DefaultParagraphFont"/>
    <w:link w:val="a4"/>
    <w:uiPriority w:val="10"/>
    <w:qFormat/>
    <w:rsid w:val="009030b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ідзаголовок Знак"/>
    <w:basedOn w:val="DefaultParagraphFont"/>
    <w:link w:val="a6"/>
    <w:uiPriority w:val="11"/>
    <w:qFormat/>
    <w:rsid w:val="009030b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Style7" w:customStyle="1">
    <w:name w:val="Цитата Знак"/>
    <w:basedOn w:val="DefaultParagraphFont"/>
    <w:link w:val="a8"/>
    <w:uiPriority w:val="29"/>
    <w:qFormat/>
    <w:rsid w:val="009030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030ba"/>
    <w:rPr>
      <w:i/>
      <w:iCs/>
      <w:color w:val="2E74B5" w:themeColor="accent1" w:themeShade="bf"/>
    </w:rPr>
  </w:style>
  <w:style w:type="character" w:styleId="Style8" w:customStyle="1">
    <w:name w:val="Насичена цитата Знак"/>
    <w:basedOn w:val="DefaultParagraphFont"/>
    <w:link w:val="ab"/>
    <w:uiPriority w:val="30"/>
    <w:qFormat/>
    <w:rsid w:val="009030b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0ba"/>
    <w:rPr>
      <w:b/>
      <w:bCs/>
      <w:smallCaps/>
      <w:color w:val="2E74B5" w:themeColor="accent1" w:themeShade="bf"/>
      <w:spacing w:val="5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0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Liberation Serif;Times New Roman" w:hAnsi="Liberation Serif;Times New Roman"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Liberation Serif;Times New Roman" w:hAnsi="Liberation Serif;Times New Roman"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Liberation Serif;Times New Roman" w:hAnsi="Liberation Serif;Times New Roman" w:cs="Lohit Devanagari"/>
      <w:sz w:val="16"/>
    </w:rPr>
  </w:style>
  <w:style w:type="paragraph" w:styleId="ListParagraph">
    <w:name w:val="List Paragraph"/>
    <w:basedOn w:val="Normal"/>
    <w:uiPriority w:val="34"/>
    <w:qFormat/>
    <w:rsid w:val="00e45fe7"/>
    <w:pPr>
      <w:spacing w:before="0" w:after="160"/>
      <w:ind w:left="720" w:hanging="0"/>
      <w:contextualSpacing/>
    </w:pPr>
    <w:rPr/>
  </w:style>
  <w:style w:type="paragraph" w:styleId="Style14">
    <w:name w:val="Title"/>
    <w:basedOn w:val="Normal"/>
    <w:link w:val="a5"/>
    <w:uiPriority w:val="10"/>
    <w:qFormat/>
    <w:rsid w:val="009030ba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5">
    <w:name w:val="Subtitle"/>
    <w:basedOn w:val="Normal"/>
    <w:link w:val="a7"/>
    <w:uiPriority w:val="11"/>
    <w:qFormat/>
    <w:rsid w:val="009030ba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a9"/>
    <w:uiPriority w:val="29"/>
    <w:qFormat/>
    <w:rsid w:val="009030ba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link w:val="ac"/>
    <w:uiPriority w:val="30"/>
    <w:qFormat/>
    <w:rsid w:val="009030ba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9030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LibreOffice/6.0.7.3$Linux_X86_64 LibreOffice_project/00m0$Build-3</Application>
  <Pages>4</Pages>
  <Words>664</Words>
  <Characters>4922</Characters>
  <CharactersWithSpaces>5535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2025-07-05T11:11:00Z</dcterms:created>
  <dc:creator>HP</dc:creator>
  <dc:description/>
  <dc:language>ru-RU</dc:language>
  <cp:lastModifiedBy/>
  <dcterms:modified xsi:type="dcterms:W3CDTF">2025-07-14T19:53:01Z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