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A468" w14:textId="77777777" w:rsidR="001874D7" w:rsidRPr="001944F4" w:rsidRDefault="001874D7" w:rsidP="001874D7">
      <w:pPr>
        <w:keepNext/>
        <w:snapToGrid/>
        <w:spacing w:before="0" w:after="0"/>
        <w:jc w:val="center"/>
        <w:outlineLvl w:val="0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ПОЯСНЮВАЛЬНА ЗАПИСКА</w:t>
      </w:r>
    </w:p>
    <w:p w14:paraId="398EF024" w14:textId="77777777" w:rsidR="00613EF8" w:rsidRPr="001944F4" w:rsidRDefault="001874D7" w:rsidP="00FC6C95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ru-RU"/>
        </w:rPr>
      </w:pPr>
      <w:r w:rsidRPr="001944F4">
        <w:rPr>
          <w:b/>
          <w:sz w:val="28"/>
          <w:szCs w:val="28"/>
          <w:lang w:eastAsia="ru-RU"/>
        </w:rPr>
        <w:t xml:space="preserve">до проекту </w:t>
      </w:r>
      <w:r w:rsidR="00FC6C95" w:rsidRPr="001944F4">
        <w:rPr>
          <w:b/>
          <w:sz w:val="28"/>
          <w:szCs w:val="28"/>
          <w:lang w:eastAsia="ru-RU"/>
        </w:rPr>
        <w:t>постанови Кабінету Міністрів України</w:t>
      </w:r>
    </w:p>
    <w:p w14:paraId="3B9F5E0F" w14:textId="4F749251" w:rsidR="001874D7" w:rsidRPr="001944F4" w:rsidRDefault="001874D7" w:rsidP="00C970D0">
      <w:pPr>
        <w:pStyle w:val="rvps2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ru-RU"/>
        </w:rPr>
      </w:pPr>
      <w:r w:rsidRPr="001944F4">
        <w:rPr>
          <w:b/>
          <w:sz w:val="28"/>
          <w:szCs w:val="28"/>
          <w:lang w:eastAsia="ru-RU"/>
        </w:rPr>
        <w:t xml:space="preserve"> «</w:t>
      </w:r>
      <w:bookmarkStart w:id="0" w:name="_Hlk188272206"/>
      <w:r w:rsidR="00FF2294" w:rsidRPr="001944F4">
        <w:rPr>
          <w:rStyle w:val="spanrvts23"/>
          <w:rFonts w:eastAsia="Calibri"/>
          <w:bCs w:val="0"/>
          <w:sz w:val="28"/>
          <w:szCs w:val="28"/>
        </w:rPr>
        <w:t>Про внесення до деяких актів Кабінету Міністрів України</w:t>
      </w:r>
      <w:bookmarkEnd w:id="0"/>
      <w:r w:rsidR="00FF2294" w:rsidRPr="001944F4">
        <w:rPr>
          <w:rStyle w:val="spanrvts23"/>
          <w:rFonts w:eastAsia="Calibri"/>
          <w:bCs w:val="0"/>
          <w:sz w:val="28"/>
          <w:szCs w:val="28"/>
        </w:rPr>
        <w:t xml:space="preserve"> змін щодо </w:t>
      </w:r>
      <w:r w:rsidR="00FF2294" w:rsidRPr="001944F4">
        <w:rPr>
          <w:rStyle w:val="spanrvts23"/>
          <w:rFonts w:eastAsia="Calibri"/>
          <w:sz w:val="28"/>
          <w:szCs w:val="28"/>
        </w:rPr>
        <w:t>ведення Державного реєстру видавців, виготовлювачів і розповсюджувачів видавничої продукції</w:t>
      </w:r>
      <w:r w:rsidRPr="001944F4">
        <w:rPr>
          <w:b/>
          <w:sz w:val="28"/>
          <w:szCs w:val="28"/>
          <w:lang w:eastAsia="ru-RU"/>
        </w:rPr>
        <w:t>»</w:t>
      </w:r>
    </w:p>
    <w:p w14:paraId="6BE83C24" w14:textId="77777777" w:rsidR="001874D7" w:rsidRPr="001944F4" w:rsidRDefault="001874D7" w:rsidP="001874D7">
      <w:pPr>
        <w:snapToGrid/>
        <w:spacing w:before="0" w:after="0"/>
        <w:ind w:left="-360"/>
        <w:jc w:val="center"/>
        <w:rPr>
          <w:b/>
          <w:sz w:val="28"/>
          <w:szCs w:val="28"/>
          <w:lang w:val="uk-UA"/>
        </w:rPr>
      </w:pPr>
    </w:p>
    <w:p w14:paraId="475810FC" w14:textId="77777777" w:rsidR="001874D7" w:rsidRPr="001944F4" w:rsidRDefault="001874D7" w:rsidP="001874D7">
      <w:pPr>
        <w:keepNext/>
        <w:snapToGrid/>
        <w:spacing w:before="0" w:after="0"/>
        <w:ind w:firstLine="709"/>
        <w:jc w:val="both"/>
        <w:outlineLvl w:val="8"/>
        <w:rPr>
          <w:b/>
          <w:bCs/>
          <w:sz w:val="28"/>
          <w:szCs w:val="28"/>
          <w:lang w:val="uk-UA"/>
        </w:rPr>
      </w:pPr>
      <w:r w:rsidRPr="001944F4">
        <w:rPr>
          <w:b/>
          <w:bCs/>
          <w:sz w:val="28"/>
          <w:szCs w:val="28"/>
          <w:lang w:val="uk-UA"/>
        </w:rPr>
        <w:t xml:space="preserve">1. Мета </w:t>
      </w:r>
    </w:p>
    <w:p w14:paraId="18908092" w14:textId="0F56501D" w:rsidR="001874D7" w:rsidRPr="001944F4" w:rsidRDefault="001874D7" w:rsidP="001874D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1944F4">
        <w:rPr>
          <w:sz w:val="28"/>
          <w:szCs w:val="28"/>
          <w:lang w:eastAsia="ru-RU"/>
        </w:rPr>
        <w:t xml:space="preserve">Проект </w:t>
      </w:r>
      <w:r w:rsidR="00FC6C95" w:rsidRPr="001944F4">
        <w:rPr>
          <w:sz w:val="28"/>
          <w:szCs w:val="28"/>
          <w:lang w:eastAsia="ru-RU"/>
        </w:rPr>
        <w:t>постанови Кабінету Міністрів України</w:t>
      </w:r>
      <w:r w:rsidRPr="001944F4">
        <w:rPr>
          <w:sz w:val="28"/>
          <w:szCs w:val="28"/>
          <w:lang w:eastAsia="ru-RU"/>
        </w:rPr>
        <w:t xml:space="preserve"> розроблено з метою </w:t>
      </w:r>
      <w:r w:rsidR="00FF2294" w:rsidRPr="001944F4">
        <w:rPr>
          <w:sz w:val="28"/>
          <w:szCs w:val="28"/>
          <w:lang w:eastAsia="ru-RU"/>
        </w:rPr>
        <w:t>приведення актів Кабінету Міністрів України у відповідність до законодавчих актів України в частині ведення Державного реєстру видавців, виготовлювачів і розповсюджувачів видавничої продукції.</w:t>
      </w:r>
    </w:p>
    <w:p w14:paraId="7AA11F87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</w:p>
    <w:p w14:paraId="12436A9E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2. Обґрунтування необхідності прийняття акта</w:t>
      </w:r>
    </w:p>
    <w:p w14:paraId="447E7058" w14:textId="5E2DFF49" w:rsidR="001874D7" w:rsidRPr="001944F4" w:rsidRDefault="00FF2294" w:rsidP="00591FB0">
      <w:pPr>
        <w:pStyle w:val="a3"/>
        <w:spacing w:after="0"/>
        <w:ind w:firstLine="709"/>
        <w:rPr>
          <w:szCs w:val="28"/>
        </w:rPr>
      </w:pPr>
      <w:r w:rsidRPr="001944F4">
        <w:rPr>
          <w:szCs w:val="28"/>
        </w:rPr>
        <w:t xml:space="preserve">Постановою Кабінету Міністрів України від 10 березня 2017 р. № 135 (в редакції постанови Кабінету Міністрів України від </w:t>
      </w:r>
      <w:r w:rsidRPr="001944F4">
        <w:t>18 липня 2024 р.                    № 824</w:t>
      </w:r>
      <w:r w:rsidRPr="001944F4">
        <w:rPr>
          <w:szCs w:val="28"/>
        </w:rPr>
        <w:t>) затверджено Порядок ведення Державного реєстру видавців, виготовлювачів і розповсюджувачів видавничої продукції.</w:t>
      </w:r>
    </w:p>
    <w:p w14:paraId="273464E4" w14:textId="4E288888" w:rsidR="00FF2294" w:rsidRPr="001944F4" w:rsidRDefault="00FF2294" w:rsidP="00591FB0">
      <w:pPr>
        <w:pStyle w:val="a3"/>
        <w:spacing w:after="0"/>
        <w:ind w:firstLine="709"/>
        <w:rPr>
          <w:szCs w:val="28"/>
        </w:rPr>
      </w:pPr>
      <w:r w:rsidRPr="001944F4">
        <w:rPr>
          <w:szCs w:val="28"/>
        </w:rPr>
        <w:t>15</w:t>
      </w:r>
      <w:r w:rsidR="00A25998" w:rsidRPr="001944F4">
        <w:rPr>
          <w:szCs w:val="28"/>
        </w:rPr>
        <w:t xml:space="preserve"> листопада </w:t>
      </w:r>
      <w:r w:rsidRPr="001944F4">
        <w:rPr>
          <w:szCs w:val="28"/>
        </w:rPr>
        <w:t>2024</w:t>
      </w:r>
      <w:r w:rsidR="00A25998" w:rsidRPr="001944F4">
        <w:rPr>
          <w:szCs w:val="28"/>
        </w:rPr>
        <w:t xml:space="preserve"> р.</w:t>
      </w:r>
      <w:r w:rsidRPr="001944F4">
        <w:rPr>
          <w:szCs w:val="28"/>
        </w:rPr>
        <w:t xml:space="preserve"> набрав чинності Закон України від 10 жовтня </w:t>
      </w:r>
      <w:r w:rsidR="00A25998" w:rsidRPr="001944F4">
        <w:rPr>
          <w:szCs w:val="28"/>
        </w:rPr>
        <w:t xml:space="preserve"> </w:t>
      </w:r>
      <w:r w:rsidRPr="001944F4">
        <w:rPr>
          <w:szCs w:val="28"/>
        </w:rPr>
        <w:t>2024</w:t>
      </w:r>
      <w:r w:rsidR="00A25998" w:rsidRPr="001944F4">
        <w:rPr>
          <w:szCs w:val="28"/>
        </w:rPr>
        <w:t xml:space="preserve"> р.</w:t>
      </w:r>
      <w:r w:rsidRPr="001944F4">
        <w:rPr>
          <w:szCs w:val="28"/>
        </w:rPr>
        <w:t xml:space="preserve"> № 4017-IX «Про внесення змін до деяких законодавчих актів України у зв’язку з прийняттям Закону України «Про адміністративну процедуру», яким, зокрема внесено зміни до Закону України «Про видавничу справу»</w:t>
      </w:r>
      <w:r w:rsidR="00A25998" w:rsidRPr="001944F4">
        <w:rPr>
          <w:szCs w:val="28"/>
        </w:rPr>
        <w:t>.</w:t>
      </w:r>
    </w:p>
    <w:p w14:paraId="42E3357A" w14:textId="77777777" w:rsidR="00A25998" w:rsidRPr="001944F4" w:rsidRDefault="00FF2294" w:rsidP="00FF2294">
      <w:pPr>
        <w:pStyle w:val="a3"/>
        <w:spacing w:after="0"/>
        <w:ind w:firstLine="709"/>
        <w:rPr>
          <w:szCs w:val="28"/>
        </w:rPr>
      </w:pPr>
      <w:r w:rsidRPr="001944F4">
        <w:rPr>
          <w:szCs w:val="28"/>
        </w:rPr>
        <w:t xml:space="preserve">На виконання доручення Прем’єр-міністра України Д. ШМИГАЛЯ      від 22.11.2024 № 37239/1/1-24 та плану організації підготовки проектів актів та виконання інших завдань, необхідних для забезпечення реалізації </w:t>
      </w:r>
      <w:r w:rsidR="00A25998" w:rsidRPr="001944F4">
        <w:rPr>
          <w:szCs w:val="28"/>
        </w:rPr>
        <w:t xml:space="preserve">зазначеного </w:t>
      </w:r>
      <w:r w:rsidRPr="001944F4">
        <w:rPr>
          <w:szCs w:val="28"/>
        </w:rPr>
        <w:t>Закону</w:t>
      </w:r>
      <w:r w:rsidR="00A25998" w:rsidRPr="001944F4">
        <w:rPr>
          <w:szCs w:val="28"/>
        </w:rPr>
        <w:t>,</w:t>
      </w:r>
      <w:r w:rsidRPr="001944F4">
        <w:rPr>
          <w:szCs w:val="28"/>
        </w:rPr>
        <w:t xml:space="preserve"> </w:t>
      </w:r>
      <w:r w:rsidR="00A25998" w:rsidRPr="001944F4">
        <w:rPr>
          <w:szCs w:val="28"/>
        </w:rPr>
        <w:t>міністерствам, іншим центральним органам виконавчої влади необхідно розробити та подати на розгляд Кабінету Міністрів України проекти актів щодо приведення нормативно-правових актів Кабінету Міністрів України у відповідність до згаданого Закону.</w:t>
      </w:r>
    </w:p>
    <w:p w14:paraId="4E080659" w14:textId="76540DD5" w:rsidR="00A25998" w:rsidRPr="001944F4" w:rsidRDefault="00A25998" w:rsidP="00A25998">
      <w:pPr>
        <w:pStyle w:val="a3"/>
        <w:spacing w:after="0"/>
        <w:ind w:firstLine="709"/>
        <w:rPr>
          <w:szCs w:val="28"/>
        </w:rPr>
      </w:pPr>
      <w:r w:rsidRPr="001944F4">
        <w:rPr>
          <w:szCs w:val="28"/>
        </w:rPr>
        <w:t>З огляду на зазначене, Держкомтелерадіо розроблено проект постанови Кабінету Міністрів України «Про внесення до деяких актів Кабінету Міністрів України змін щодо ведення Державного реєстру видавців, виготовлювачів і розповсюджувачів видавничої продукції».</w:t>
      </w:r>
    </w:p>
    <w:p w14:paraId="41A8B16B" w14:textId="11A3A1E3" w:rsidR="001874D7" w:rsidRPr="001944F4" w:rsidRDefault="00A25998" w:rsidP="00A25998">
      <w:pPr>
        <w:pStyle w:val="a3"/>
        <w:spacing w:after="0"/>
        <w:ind w:firstLine="709"/>
        <w:rPr>
          <w:b/>
          <w:szCs w:val="28"/>
        </w:rPr>
      </w:pPr>
      <w:r w:rsidRPr="001944F4">
        <w:rPr>
          <w:szCs w:val="28"/>
        </w:rPr>
        <w:t xml:space="preserve">  </w:t>
      </w:r>
    </w:p>
    <w:p w14:paraId="7FAB1A5A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3. Основні положення проекту акта</w:t>
      </w:r>
    </w:p>
    <w:p w14:paraId="621EEFA5" w14:textId="409D4EE6" w:rsidR="00FC6C95" w:rsidRPr="001944F4" w:rsidRDefault="001874D7" w:rsidP="00613EF8">
      <w:pPr>
        <w:pStyle w:val="a3"/>
        <w:spacing w:after="0"/>
        <w:ind w:firstLine="709"/>
        <w:rPr>
          <w:szCs w:val="28"/>
        </w:rPr>
      </w:pPr>
      <w:r w:rsidRPr="001944F4">
        <w:rPr>
          <w:szCs w:val="28"/>
        </w:rPr>
        <w:t>Проектом акта пропонується</w:t>
      </w:r>
      <w:r w:rsidR="00613EF8" w:rsidRPr="001944F4">
        <w:rPr>
          <w:szCs w:val="28"/>
        </w:rPr>
        <w:t xml:space="preserve"> </w:t>
      </w:r>
      <w:r w:rsidR="00A25998" w:rsidRPr="001944F4">
        <w:rPr>
          <w:szCs w:val="28"/>
        </w:rPr>
        <w:t>внести зміни в частині ведення Державного реєстру видавців, виготовлювачів і розповсюджувачів видавничої продукції:</w:t>
      </w:r>
    </w:p>
    <w:p w14:paraId="5A339A7C" w14:textId="022274BD" w:rsidR="00A25998" w:rsidRPr="001944F4" w:rsidRDefault="00A25998" w:rsidP="00613EF8">
      <w:pPr>
        <w:pStyle w:val="a3"/>
        <w:spacing w:after="0"/>
        <w:ind w:firstLine="709"/>
        <w:rPr>
          <w:szCs w:val="28"/>
          <w:lang w:eastAsia="uk-UA"/>
        </w:rPr>
      </w:pPr>
      <w:r w:rsidRPr="001944F4">
        <w:rPr>
          <w:szCs w:val="28"/>
          <w:lang w:eastAsia="uk-UA"/>
        </w:rPr>
        <w:t>у додаток до розпорядження Кабінету Міністрів України від 16 травня 2014 р. № 523 «Деякі питання надання адміністративних послуг через центри надання адміністративних послуг»;</w:t>
      </w:r>
    </w:p>
    <w:p w14:paraId="4786A937" w14:textId="57B46AED" w:rsidR="00A25998" w:rsidRPr="001944F4" w:rsidRDefault="00A25998" w:rsidP="00613EF8">
      <w:pPr>
        <w:pStyle w:val="a3"/>
        <w:spacing w:after="0"/>
        <w:ind w:firstLine="709"/>
        <w:rPr>
          <w:szCs w:val="28"/>
          <w:lang w:eastAsia="uk-UA"/>
        </w:rPr>
      </w:pPr>
      <w:r w:rsidRPr="001944F4">
        <w:rPr>
          <w:szCs w:val="28"/>
        </w:rPr>
        <w:t xml:space="preserve">у пункт 4 </w:t>
      </w:r>
      <w:r w:rsidRPr="001944F4">
        <w:rPr>
          <w:szCs w:val="28"/>
          <w:lang w:eastAsia="uk-UA"/>
        </w:rPr>
        <w:t>Положення про Державний комітет телебачення і радіомовлення України, затвердженого постановою Кабінету Міністрів України від 13 серпня 2014 р. № 341;</w:t>
      </w:r>
    </w:p>
    <w:p w14:paraId="51E6846A" w14:textId="563AD90B" w:rsidR="00A25998" w:rsidRPr="001944F4" w:rsidRDefault="00D22FCA" w:rsidP="00613EF8">
      <w:pPr>
        <w:pStyle w:val="a3"/>
        <w:spacing w:after="0"/>
        <w:ind w:firstLine="709"/>
        <w:rPr>
          <w:szCs w:val="28"/>
        </w:rPr>
      </w:pPr>
      <w:r w:rsidRPr="001944F4">
        <w:rPr>
          <w:szCs w:val="28"/>
          <w:lang w:eastAsia="uk-UA"/>
        </w:rPr>
        <w:lastRenderedPageBreak/>
        <w:t>до постанови Кабінету Міністрів України від 10 березня 2017 р. № 135 «Про затвердження Порядку ведення Державного реєстру видавців, виготовлювачів і розповсюджувачів видавничої продукції».</w:t>
      </w:r>
    </w:p>
    <w:p w14:paraId="57DC7E02" w14:textId="77777777" w:rsidR="00A5070E" w:rsidRPr="001944F4" w:rsidRDefault="00A5070E" w:rsidP="001874D7">
      <w:pPr>
        <w:pStyle w:val="a5"/>
        <w:spacing w:before="0"/>
        <w:ind w:firstLine="709"/>
        <w:rPr>
          <w:rFonts w:ascii="Times New Roman" w:hAnsi="Times New Roman"/>
          <w:sz w:val="28"/>
          <w:szCs w:val="28"/>
        </w:rPr>
      </w:pPr>
    </w:p>
    <w:p w14:paraId="40DAF03D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4. Правові аспекти</w:t>
      </w:r>
    </w:p>
    <w:p w14:paraId="2A3F2203" w14:textId="516DD985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1944F4">
        <w:rPr>
          <w:rFonts w:ascii="Times New Roman" w:hAnsi="Times New Roman" w:cs="Times New Roman"/>
          <w:b w:val="0"/>
        </w:rPr>
        <w:t>У даній сфері суспільних відносин діють Конституція України, закони України «Про видавничу справу»,</w:t>
      </w:r>
      <w:r w:rsidR="00B03539" w:rsidRPr="001944F4">
        <w:rPr>
          <w:rFonts w:ascii="Times New Roman" w:hAnsi="Times New Roman" w:cs="Times New Roman"/>
          <w:b w:val="0"/>
        </w:rPr>
        <w:t xml:space="preserve"> </w:t>
      </w:r>
      <w:r w:rsidRPr="001944F4">
        <w:rPr>
          <w:rFonts w:ascii="Times New Roman" w:hAnsi="Times New Roman" w:cs="Times New Roman"/>
          <w:b w:val="0"/>
        </w:rPr>
        <w:t>«Про державну підтримку кни</w:t>
      </w:r>
      <w:r w:rsidR="00B03539" w:rsidRPr="001944F4">
        <w:rPr>
          <w:rFonts w:ascii="Times New Roman" w:hAnsi="Times New Roman" w:cs="Times New Roman"/>
          <w:b w:val="0"/>
        </w:rPr>
        <w:t>говидавничої справи в Україні»</w:t>
      </w:r>
      <w:r w:rsidRPr="001944F4">
        <w:rPr>
          <w:rFonts w:ascii="Times New Roman" w:hAnsi="Times New Roman" w:cs="Times New Roman"/>
          <w:b w:val="0"/>
        </w:rPr>
        <w:t xml:space="preserve">, </w:t>
      </w:r>
      <w:r w:rsidR="00FA08CE" w:rsidRPr="001944F4">
        <w:rPr>
          <w:rFonts w:ascii="Times New Roman" w:hAnsi="Times New Roman" w:cs="Times New Roman"/>
          <w:b w:val="0"/>
        </w:rPr>
        <w:t xml:space="preserve">«Про адміністративну процедуру», </w:t>
      </w:r>
      <w:r w:rsidR="00D22FCA" w:rsidRPr="001944F4">
        <w:rPr>
          <w:rFonts w:ascii="Times New Roman" w:hAnsi="Times New Roman" w:cs="Times New Roman"/>
          <w:b w:val="0"/>
        </w:rPr>
        <w:t xml:space="preserve">«Про внесення змін до деяких законодавчих актів України у зв’язку з прийняттям Закону України «Про адміністративну процедуру», </w:t>
      </w:r>
      <w:r w:rsidRPr="001944F4">
        <w:rPr>
          <w:rFonts w:ascii="Times New Roman" w:hAnsi="Times New Roman" w:cs="Times New Roman"/>
          <w:b w:val="0"/>
        </w:rPr>
        <w:t>постанов</w:t>
      </w:r>
      <w:r w:rsidR="00D22FCA" w:rsidRPr="001944F4">
        <w:rPr>
          <w:rFonts w:ascii="Times New Roman" w:hAnsi="Times New Roman" w:cs="Times New Roman"/>
          <w:b w:val="0"/>
        </w:rPr>
        <w:t>и</w:t>
      </w:r>
      <w:r w:rsidRPr="001944F4">
        <w:rPr>
          <w:rFonts w:ascii="Times New Roman" w:hAnsi="Times New Roman" w:cs="Times New Roman"/>
          <w:b w:val="0"/>
        </w:rPr>
        <w:t xml:space="preserve"> Кабінету Міністрів України від 13.08.2014 № 341 «Про затвердження Положення про Державний комітет телебачення і радіомовлення України»</w:t>
      </w:r>
      <w:r w:rsidR="00D22FCA" w:rsidRPr="001944F4">
        <w:rPr>
          <w:rFonts w:ascii="Times New Roman" w:hAnsi="Times New Roman" w:cs="Times New Roman"/>
          <w:b w:val="0"/>
        </w:rPr>
        <w:t xml:space="preserve">, від 10 березня 2017 р. № 135 «Про затвердження Порядку ведення Державного реєстру видавців, виготовлювачів і розповсюджувачів видавничої продукції», </w:t>
      </w:r>
      <w:r w:rsidRPr="001944F4">
        <w:rPr>
          <w:rFonts w:ascii="Times New Roman" w:hAnsi="Times New Roman" w:cs="Times New Roman"/>
          <w:b w:val="0"/>
        </w:rPr>
        <w:t xml:space="preserve"> </w:t>
      </w:r>
      <w:r w:rsidR="00D22FCA" w:rsidRPr="001944F4">
        <w:rPr>
          <w:rFonts w:ascii="Times New Roman" w:hAnsi="Times New Roman" w:cs="Times New Roman"/>
          <w:b w:val="0"/>
        </w:rPr>
        <w:t xml:space="preserve">розпорядження Кабінету Міністрів України від 16 травня 2014 р. № 523 «Деякі питання надання адміністративних послуг через центри надання адміністративних послуг» </w:t>
      </w:r>
      <w:r w:rsidRPr="001944F4">
        <w:rPr>
          <w:rFonts w:ascii="Times New Roman" w:hAnsi="Times New Roman" w:cs="Times New Roman"/>
          <w:b w:val="0"/>
        </w:rPr>
        <w:t>та інші нормативно-правові акти.</w:t>
      </w:r>
    </w:p>
    <w:p w14:paraId="53089C5D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14:paraId="0C637C5F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5. Фінансово-економічне обґрунтування</w:t>
      </w:r>
    </w:p>
    <w:p w14:paraId="091C0917" w14:textId="61FCA10F" w:rsidR="00544761" w:rsidRDefault="00544761" w:rsidP="00544761">
      <w:pPr>
        <w:pStyle w:val="a3"/>
        <w:spacing w:after="0"/>
        <w:ind w:firstLine="709"/>
      </w:pPr>
      <w:r w:rsidRPr="001944F4">
        <w:t xml:space="preserve">Реалізація </w:t>
      </w:r>
      <w:r w:rsidR="00F30932">
        <w:t>акту</w:t>
      </w:r>
      <w:r w:rsidRPr="001944F4">
        <w:t xml:space="preserve"> потребуватиме додаткових видатків з державного бюджету</w:t>
      </w:r>
      <w:r w:rsidR="00EC0555">
        <w:t>.</w:t>
      </w:r>
    </w:p>
    <w:p w14:paraId="36412E99" w14:textId="3C31D337" w:rsidR="00F30932" w:rsidRPr="001944F4" w:rsidRDefault="00F30932" w:rsidP="00544761">
      <w:pPr>
        <w:pStyle w:val="a3"/>
        <w:spacing w:after="0"/>
        <w:ind w:firstLine="709"/>
      </w:pPr>
      <w:r>
        <w:t>Фінансово-економічні розрахунки додаються.</w:t>
      </w:r>
    </w:p>
    <w:p w14:paraId="24E441A9" w14:textId="6D4C4861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3B7B9F9" w14:textId="77777777" w:rsidR="001874D7" w:rsidRPr="001944F4" w:rsidRDefault="001874D7" w:rsidP="001874D7">
      <w:pPr>
        <w:shd w:val="clear" w:color="auto" w:fill="FFFFFF"/>
        <w:snapToGrid/>
        <w:spacing w:before="0" w:after="0"/>
        <w:ind w:firstLine="709"/>
        <w:jc w:val="both"/>
        <w:rPr>
          <w:b/>
          <w:bCs/>
          <w:sz w:val="28"/>
          <w:szCs w:val="28"/>
          <w:lang w:val="uk-UA"/>
        </w:rPr>
      </w:pPr>
      <w:r w:rsidRPr="001944F4">
        <w:rPr>
          <w:b/>
          <w:bCs/>
          <w:sz w:val="28"/>
          <w:szCs w:val="28"/>
          <w:lang w:val="uk-UA"/>
        </w:rPr>
        <w:t>6. Позиція заінтересованих сторін</w:t>
      </w:r>
    </w:p>
    <w:p w14:paraId="1A666D89" w14:textId="71FB545E" w:rsidR="00B03539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" w:name="n1989"/>
      <w:bookmarkEnd w:id="1"/>
      <w:r w:rsidRPr="001944F4">
        <w:rPr>
          <w:rFonts w:ascii="Times New Roman" w:hAnsi="Times New Roman" w:cs="Times New Roman"/>
          <w:b w:val="0"/>
        </w:rPr>
        <w:t>Відповідно до </w:t>
      </w:r>
      <w:hyperlink r:id="rId4" w:anchor="n30" w:tgtFrame="_blank" w:history="1">
        <w:r w:rsidRPr="001944F4">
          <w:rPr>
            <w:rFonts w:ascii="Times New Roman" w:hAnsi="Times New Roman" w:cs="Times New Roman"/>
            <w:b w:val="0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1944F4">
        <w:rPr>
          <w:rFonts w:ascii="Times New Roman" w:hAnsi="Times New Roman" w:cs="Times New Roman"/>
          <w:b w:val="0"/>
        </w:rPr>
        <w:t xml:space="preserve">, затвердженого постановою Кабінету Міністрів від 3 листопада 2010 р. № 996, для проведення публічного громадського обговорення проект </w:t>
      </w:r>
      <w:r w:rsidR="00FC6C95" w:rsidRPr="001944F4">
        <w:rPr>
          <w:rFonts w:ascii="Times New Roman" w:hAnsi="Times New Roman" w:cs="Times New Roman"/>
          <w:b w:val="0"/>
        </w:rPr>
        <w:t>постанови Кабінету Міністрів України</w:t>
      </w:r>
      <w:r w:rsidRPr="001944F4">
        <w:rPr>
          <w:rFonts w:ascii="Times New Roman" w:hAnsi="Times New Roman" w:cs="Times New Roman"/>
          <w:b w:val="0"/>
        </w:rPr>
        <w:t xml:space="preserve"> оприлюднено </w:t>
      </w:r>
      <w:r w:rsidR="001E3705" w:rsidRPr="001944F4">
        <w:rPr>
          <w:rFonts w:ascii="Times New Roman" w:hAnsi="Times New Roman" w:cs="Times New Roman"/>
          <w:b w:val="0"/>
        </w:rPr>
        <w:t>на офіційному вебсайті Держкомтелерадіо</w:t>
      </w:r>
      <w:bookmarkStart w:id="2" w:name="n3498"/>
      <w:bookmarkEnd w:id="2"/>
      <w:r w:rsidR="00B03539" w:rsidRPr="001944F4">
        <w:rPr>
          <w:rFonts w:ascii="Times New Roman" w:hAnsi="Times New Roman" w:cs="Times New Roman"/>
          <w:b w:val="0"/>
        </w:rPr>
        <w:t>.</w:t>
      </w:r>
    </w:p>
    <w:p w14:paraId="6684DFB5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1944F4">
        <w:rPr>
          <w:rFonts w:ascii="Times New Roman" w:hAnsi="Times New Roman" w:cs="Times New Roman"/>
          <w:b w:val="0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128712C6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3" w:name="n3499"/>
      <w:bookmarkEnd w:id="3"/>
      <w:r w:rsidRPr="001944F4">
        <w:rPr>
          <w:rFonts w:ascii="Times New Roman" w:hAnsi="Times New Roman" w:cs="Times New Roman"/>
          <w:b w:val="0"/>
        </w:rPr>
        <w:t>Проект акта не стосується сфери наукової та науково-технічної діяльності.</w:t>
      </w:r>
    </w:p>
    <w:p w14:paraId="62E7FE9C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14:paraId="791F87DA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7. Оцінка відповідності</w:t>
      </w:r>
    </w:p>
    <w:p w14:paraId="49ABA696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4" w:name="n3501"/>
      <w:bookmarkStart w:id="5" w:name="n3502"/>
      <w:bookmarkStart w:id="6" w:name="n3503"/>
      <w:bookmarkStart w:id="7" w:name="n3504"/>
      <w:bookmarkStart w:id="8" w:name="n3507"/>
      <w:bookmarkStart w:id="9" w:name="n3508"/>
      <w:bookmarkEnd w:id="4"/>
      <w:bookmarkEnd w:id="5"/>
      <w:bookmarkEnd w:id="6"/>
      <w:bookmarkEnd w:id="7"/>
      <w:bookmarkEnd w:id="8"/>
      <w:bookmarkEnd w:id="9"/>
      <w:r w:rsidRPr="001944F4">
        <w:rPr>
          <w:rFonts w:ascii="Times New Roman" w:hAnsi="Times New Roman" w:cs="Times New Roman"/>
          <w:b w:val="0"/>
        </w:rPr>
        <w:t>У проекті акта відсутні положення, що:</w:t>
      </w:r>
    </w:p>
    <w:p w14:paraId="5922B403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1944F4">
        <w:rPr>
          <w:rFonts w:ascii="Times New Roman" w:hAnsi="Times New Roman" w:cs="Times New Roman"/>
          <w:b w:val="0"/>
        </w:rPr>
        <w:t>стосуються зобов’язань України у сфері європейської інтеграції;</w:t>
      </w:r>
    </w:p>
    <w:p w14:paraId="2360CA08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1944F4">
        <w:rPr>
          <w:rFonts w:ascii="Times New Roman" w:hAnsi="Times New Roman" w:cs="Times New Roman"/>
          <w:b w:val="0"/>
        </w:rPr>
        <w:t>стосуються прав та свобод, гарантованих Конвенцією про захист прав людини і основоположних свобод;</w:t>
      </w:r>
    </w:p>
    <w:p w14:paraId="533360CF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1944F4">
        <w:rPr>
          <w:rFonts w:ascii="Times New Roman" w:hAnsi="Times New Roman" w:cs="Times New Roman"/>
          <w:b w:val="0"/>
        </w:rPr>
        <w:t>впливають на забезпечення рівних прав та можливостей жінок і чоловіків;</w:t>
      </w:r>
    </w:p>
    <w:p w14:paraId="7515BF1C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0" w:name="n3505"/>
      <w:bookmarkEnd w:id="10"/>
      <w:r w:rsidRPr="001944F4">
        <w:rPr>
          <w:rFonts w:ascii="Times New Roman" w:hAnsi="Times New Roman" w:cs="Times New Roman"/>
          <w:b w:val="0"/>
        </w:rPr>
        <w:lastRenderedPageBreak/>
        <w:t>містять ризики вчинення корупційних правопорушень та правопорушень, пов’язаних з корупцією;</w:t>
      </w:r>
    </w:p>
    <w:p w14:paraId="5E51942C" w14:textId="77777777" w:rsidR="001874D7" w:rsidRPr="001944F4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1" w:name="n3506"/>
      <w:bookmarkEnd w:id="11"/>
      <w:r w:rsidRPr="001944F4">
        <w:rPr>
          <w:rFonts w:ascii="Times New Roman" w:hAnsi="Times New Roman" w:cs="Times New Roman"/>
          <w:b w:val="0"/>
        </w:rPr>
        <w:t>створюють підстави для дискримінації.</w:t>
      </w:r>
    </w:p>
    <w:p w14:paraId="7AAE57B0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  <w:bookmarkStart w:id="12" w:name="n3522"/>
      <w:bookmarkEnd w:id="12"/>
      <w:r w:rsidRPr="001944F4">
        <w:rPr>
          <w:sz w:val="28"/>
          <w:szCs w:val="28"/>
          <w:lang w:val="uk-UA"/>
        </w:rPr>
        <w:t>Громадська антикорупційна, громадська антидискримінаційна та громадська гендерно-правова експертизи не проводилися.</w:t>
      </w:r>
    </w:p>
    <w:p w14:paraId="0D66F6DF" w14:textId="77777777" w:rsidR="001874D7" w:rsidRPr="001944F4" w:rsidRDefault="001874D7" w:rsidP="001874D7">
      <w:pPr>
        <w:snapToGrid/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42198D46" w14:textId="77777777" w:rsidR="001874D7" w:rsidRPr="001944F4" w:rsidRDefault="001874D7" w:rsidP="001E3705">
      <w:pPr>
        <w:snapToGrid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bookmarkStart w:id="13" w:name="n3509"/>
      <w:bookmarkEnd w:id="13"/>
      <w:r w:rsidRPr="001944F4">
        <w:rPr>
          <w:b/>
          <w:sz w:val="28"/>
          <w:szCs w:val="28"/>
          <w:lang w:val="uk-UA"/>
        </w:rPr>
        <w:t>8. Прогноз результатів</w:t>
      </w:r>
    </w:p>
    <w:p w14:paraId="5C9F3B87" w14:textId="77777777" w:rsidR="00435CD3" w:rsidRPr="001944F4" w:rsidRDefault="001874D7" w:rsidP="001E3705">
      <w:pPr>
        <w:spacing w:before="0" w:after="0"/>
        <w:ind w:firstLine="709"/>
        <w:jc w:val="both"/>
        <w:rPr>
          <w:sz w:val="28"/>
          <w:szCs w:val="28"/>
          <w:lang w:val="uk-UA"/>
        </w:rPr>
      </w:pPr>
      <w:bookmarkStart w:id="14" w:name="n3511"/>
      <w:bookmarkEnd w:id="14"/>
      <w:r w:rsidRPr="001944F4">
        <w:rPr>
          <w:sz w:val="28"/>
          <w:szCs w:val="28"/>
          <w:lang w:val="uk-UA"/>
        </w:rPr>
        <w:t xml:space="preserve">Реалізація акта </w:t>
      </w:r>
      <w:r w:rsidR="00435CD3" w:rsidRPr="001944F4">
        <w:rPr>
          <w:sz w:val="28"/>
          <w:szCs w:val="28"/>
          <w:lang w:val="uk-UA"/>
        </w:rPr>
        <w:t>не матиме вплив на ринкове середовище,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63BB7F76" w14:textId="7DA86EB9" w:rsidR="009F01D6" w:rsidRPr="001944F4" w:rsidRDefault="009F01D6" w:rsidP="001E3705">
      <w:pPr>
        <w:spacing w:before="0" w:after="0"/>
        <w:ind w:firstLine="709"/>
        <w:jc w:val="both"/>
        <w:rPr>
          <w:sz w:val="28"/>
          <w:szCs w:val="28"/>
          <w:lang w:val="uk-UA"/>
        </w:rPr>
      </w:pPr>
      <w:r w:rsidRPr="001944F4">
        <w:rPr>
          <w:sz w:val="28"/>
          <w:szCs w:val="28"/>
          <w:lang w:val="uk-UA"/>
        </w:rPr>
        <w:t>Реалізація акта матиме вплив на забезпечення захисту прав та інтересів суб’єктів господарювання і держави.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118"/>
        <w:gridCol w:w="3650"/>
      </w:tblGrid>
      <w:tr w:rsidR="00386611" w:rsidRPr="001944F4" w14:paraId="14A94583" w14:textId="77777777" w:rsidTr="008906A4">
        <w:tc>
          <w:tcPr>
            <w:tcW w:w="2802" w:type="dxa"/>
            <w:vAlign w:val="center"/>
          </w:tcPr>
          <w:p w14:paraId="2B15AE68" w14:textId="77777777" w:rsidR="00386611" w:rsidRPr="001944F4" w:rsidRDefault="00386611" w:rsidP="00386611">
            <w:pPr>
              <w:snapToGrid/>
              <w:spacing w:before="0" w:after="0"/>
              <w:jc w:val="center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Заінтересована сторона</w:t>
            </w:r>
          </w:p>
        </w:tc>
        <w:tc>
          <w:tcPr>
            <w:tcW w:w="3118" w:type="dxa"/>
            <w:vAlign w:val="center"/>
          </w:tcPr>
          <w:p w14:paraId="79D08BC4" w14:textId="77777777" w:rsidR="00386611" w:rsidRPr="001944F4" w:rsidRDefault="00386611" w:rsidP="00386611">
            <w:pPr>
              <w:snapToGrid/>
              <w:spacing w:before="0" w:after="0"/>
              <w:jc w:val="center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3650" w:type="dxa"/>
            <w:vAlign w:val="center"/>
          </w:tcPr>
          <w:p w14:paraId="508EE30D" w14:textId="77777777" w:rsidR="00386611" w:rsidRPr="001944F4" w:rsidRDefault="00386611" w:rsidP="00386611">
            <w:pPr>
              <w:snapToGrid/>
              <w:spacing w:before="0" w:after="0"/>
              <w:jc w:val="center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Пояснення очікуваного впливу</w:t>
            </w:r>
          </w:p>
        </w:tc>
      </w:tr>
      <w:tr w:rsidR="002F53F7" w:rsidRPr="001944F4" w14:paraId="6DE18979" w14:textId="77777777" w:rsidTr="008906A4">
        <w:tc>
          <w:tcPr>
            <w:tcW w:w="2802" w:type="dxa"/>
          </w:tcPr>
          <w:p w14:paraId="6DB7F941" w14:textId="2499F634" w:rsidR="002F53F7" w:rsidRPr="001944F4" w:rsidRDefault="002F53F7" w:rsidP="005D69D6">
            <w:pPr>
              <w:snapToGrid/>
              <w:spacing w:before="0" w:after="0"/>
              <w:jc w:val="center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Суб’єкти господарювання</w:t>
            </w:r>
            <w:r w:rsidR="001944F4" w:rsidRPr="001944F4">
              <w:rPr>
                <w:sz w:val="26"/>
                <w:szCs w:val="26"/>
                <w:lang w:val="uk-UA"/>
              </w:rPr>
              <w:t xml:space="preserve"> - видавці, </w:t>
            </w:r>
            <w:r w:rsidR="00DD3B28" w:rsidRPr="001944F4">
              <w:rPr>
                <w:sz w:val="26"/>
                <w:szCs w:val="26"/>
                <w:lang w:val="uk-UA"/>
              </w:rPr>
              <w:t>виготовлювачі</w:t>
            </w:r>
            <w:r w:rsidR="001944F4" w:rsidRPr="001944F4">
              <w:rPr>
                <w:sz w:val="26"/>
                <w:szCs w:val="26"/>
                <w:lang w:val="uk-UA"/>
              </w:rPr>
              <w:t xml:space="preserve"> і </w:t>
            </w:r>
            <w:r w:rsidR="00DD3B28" w:rsidRPr="001944F4">
              <w:rPr>
                <w:sz w:val="26"/>
                <w:szCs w:val="26"/>
                <w:lang w:val="uk-UA"/>
              </w:rPr>
              <w:t>розповсюджувачі</w:t>
            </w:r>
            <w:r w:rsidR="001944F4" w:rsidRPr="001944F4">
              <w:rPr>
                <w:sz w:val="26"/>
                <w:szCs w:val="26"/>
                <w:lang w:val="uk-UA"/>
              </w:rPr>
              <w:t xml:space="preserve"> видавничої продукції </w:t>
            </w:r>
          </w:p>
        </w:tc>
        <w:tc>
          <w:tcPr>
            <w:tcW w:w="3118" w:type="dxa"/>
          </w:tcPr>
          <w:p w14:paraId="45E2185E" w14:textId="77777777" w:rsidR="002F53F7" w:rsidRPr="001944F4" w:rsidRDefault="005D69D6" w:rsidP="002F53F7">
            <w:pPr>
              <w:snapToGrid/>
              <w:spacing w:before="0" w:after="0"/>
              <w:ind w:firstLine="709"/>
              <w:jc w:val="both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Позитивний</w:t>
            </w:r>
          </w:p>
          <w:p w14:paraId="0DCD9B67" w14:textId="77777777" w:rsidR="002F53F7" w:rsidRPr="001944F4" w:rsidRDefault="002F53F7" w:rsidP="002F53F7">
            <w:pPr>
              <w:snapToGrid/>
              <w:spacing w:before="0" w:after="0"/>
              <w:ind w:firstLine="709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50" w:type="dxa"/>
          </w:tcPr>
          <w:p w14:paraId="23CF7C50" w14:textId="77777777" w:rsidR="002F53F7" w:rsidRPr="001944F4" w:rsidRDefault="006B0A42" w:rsidP="006B0A42">
            <w:pPr>
              <w:snapToGrid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Захист прав та інтересів видавців, виготовлювачів, розповсюджувачів і споживачів видавничої продукції</w:t>
            </w:r>
            <w:r w:rsidR="006C5F16" w:rsidRPr="001944F4">
              <w:rPr>
                <w:sz w:val="26"/>
                <w:szCs w:val="26"/>
                <w:lang w:val="uk-UA"/>
              </w:rPr>
              <w:t>,</w:t>
            </w:r>
          </w:p>
          <w:p w14:paraId="69E0BDE2" w14:textId="77777777" w:rsidR="006C5F16" w:rsidRPr="001944F4" w:rsidRDefault="006C5F16" w:rsidP="006C5F16">
            <w:pPr>
              <w:snapToGrid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стимулювання розвитку українського книговидання і книгорозповсюдження.</w:t>
            </w:r>
          </w:p>
        </w:tc>
      </w:tr>
      <w:tr w:rsidR="00386611" w:rsidRPr="001944F4" w14:paraId="349093ED" w14:textId="77777777" w:rsidTr="008906A4">
        <w:tc>
          <w:tcPr>
            <w:tcW w:w="2802" w:type="dxa"/>
          </w:tcPr>
          <w:p w14:paraId="0063E943" w14:textId="77777777" w:rsidR="00386611" w:rsidRPr="001944F4" w:rsidRDefault="005D69D6" w:rsidP="001D039F">
            <w:pPr>
              <w:snapToGrid/>
              <w:spacing w:before="0" w:after="0"/>
              <w:ind w:firstLine="709"/>
              <w:jc w:val="both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Держава</w:t>
            </w:r>
          </w:p>
        </w:tc>
        <w:tc>
          <w:tcPr>
            <w:tcW w:w="3118" w:type="dxa"/>
          </w:tcPr>
          <w:p w14:paraId="13F85E06" w14:textId="77777777" w:rsidR="002F53F7" w:rsidRPr="001944F4" w:rsidRDefault="005D69D6" w:rsidP="002F53F7">
            <w:pPr>
              <w:snapToGrid/>
              <w:spacing w:before="0" w:after="0"/>
              <w:ind w:firstLine="709"/>
              <w:jc w:val="both"/>
              <w:rPr>
                <w:sz w:val="26"/>
                <w:szCs w:val="26"/>
                <w:lang w:val="uk-UA"/>
              </w:rPr>
            </w:pPr>
            <w:r w:rsidRPr="001944F4">
              <w:rPr>
                <w:sz w:val="26"/>
                <w:szCs w:val="26"/>
                <w:lang w:val="uk-UA"/>
              </w:rPr>
              <w:t>Позитивний</w:t>
            </w:r>
          </w:p>
          <w:p w14:paraId="3A3BC5E0" w14:textId="77777777" w:rsidR="00386611" w:rsidRPr="001944F4" w:rsidRDefault="00386611" w:rsidP="001D039F">
            <w:pPr>
              <w:snapToGrid/>
              <w:spacing w:before="0" w:after="0"/>
              <w:ind w:firstLine="709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50" w:type="dxa"/>
          </w:tcPr>
          <w:p w14:paraId="22230557" w14:textId="52BFAFB0" w:rsidR="00386611" w:rsidRPr="001944F4" w:rsidRDefault="001944F4" w:rsidP="006C5F16">
            <w:pPr>
              <w:snapToGrid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Ведення </w:t>
            </w:r>
            <w:r w:rsidRPr="001944F4">
              <w:rPr>
                <w:sz w:val="26"/>
                <w:szCs w:val="26"/>
                <w:lang w:val="uk-UA"/>
              </w:rPr>
              <w:t>Державного реєстру видавців, виготовлювачів і розповсюджувачів видавничої продукції</w:t>
            </w:r>
            <w:r>
              <w:rPr>
                <w:sz w:val="26"/>
                <w:szCs w:val="26"/>
                <w:lang w:val="uk-UA"/>
              </w:rPr>
              <w:t xml:space="preserve"> здійснюватиметься відповідно до чинних законодавчих актів.</w:t>
            </w:r>
          </w:p>
        </w:tc>
      </w:tr>
    </w:tbl>
    <w:p w14:paraId="2987C337" w14:textId="77777777" w:rsidR="00386611" w:rsidRPr="001944F4" w:rsidRDefault="00386611" w:rsidP="001E3705">
      <w:pPr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5858DFD5" w14:textId="708766E7" w:rsidR="001874D7" w:rsidRPr="001944F4" w:rsidRDefault="001874D7" w:rsidP="001874D7">
      <w:pPr>
        <w:spacing w:before="0" w:after="0"/>
        <w:rPr>
          <w:b/>
          <w:sz w:val="28"/>
          <w:szCs w:val="28"/>
          <w:lang w:val="uk-UA"/>
        </w:rPr>
      </w:pPr>
      <w:r w:rsidRPr="001944F4">
        <w:rPr>
          <w:b/>
          <w:sz w:val="28"/>
          <w:szCs w:val="28"/>
          <w:lang w:val="uk-UA"/>
        </w:rPr>
        <w:t>Голов</w:t>
      </w:r>
      <w:r w:rsidR="000E428B" w:rsidRPr="001944F4">
        <w:rPr>
          <w:b/>
          <w:sz w:val="28"/>
          <w:szCs w:val="28"/>
          <w:lang w:val="uk-UA"/>
        </w:rPr>
        <w:t>а</w:t>
      </w:r>
      <w:r w:rsidR="00C970D0" w:rsidRPr="001944F4">
        <w:rPr>
          <w:b/>
          <w:sz w:val="28"/>
          <w:szCs w:val="28"/>
          <w:lang w:val="uk-UA"/>
        </w:rPr>
        <w:tab/>
      </w:r>
      <w:r w:rsidR="00C970D0" w:rsidRPr="001944F4">
        <w:rPr>
          <w:b/>
          <w:sz w:val="28"/>
          <w:szCs w:val="28"/>
          <w:lang w:val="uk-UA"/>
        </w:rPr>
        <w:tab/>
      </w:r>
      <w:r w:rsidR="00C970D0" w:rsidRPr="001944F4">
        <w:rPr>
          <w:b/>
          <w:sz w:val="28"/>
          <w:szCs w:val="28"/>
          <w:lang w:val="uk-UA"/>
        </w:rPr>
        <w:tab/>
      </w:r>
      <w:r w:rsidR="00C970D0" w:rsidRPr="001944F4">
        <w:rPr>
          <w:b/>
          <w:sz w:val="28"/>
          <w:szCs w:val="28"/>
          <w:lang w:val="uk-UA"/>
        </w:rPr>
        <w:tab/>
      </w:r>
      <w:r w:rsidR="00C970D0" w:rsidRPr="001944F4">
        <w:rPr>
          <w:b/>
          <w:sz w:val="28"/>
          <w:szCs w:val="28"/>
          <w:lang w:val="uk-UA"/>
        </w:rPr>
        <w:tab/>
      </w:r>
      <w:r w:rsidR="00C970D0" w:rsidRPr="001944F4">
        <w:rPr>
          <w:b/>
          <w:sz w:val="28"/>
          <w:szCs w:val="28"/>
          <w:lang w:val="uk-UA"/>
        </w:rPr>
        <w:tab/>
      </w:r>
      <w:r w:rsidR="00C970D0" w:rsidRPr="001944F4">
        <w:rPr>
          <w:b/>
          <w:sz w:val="28"/>
          <w:szCs w:val="28"/>
          <w:lang w:val="uk-UA"/>
        </w:rPr>
        <w:tab/>
        <w:t xml:space="preserve">      </w:t>
      </w:r>
      <w:r w:rsidR="000E428B" w:rsidRPr="001944F4">
        <w:rPr>
          <w:b/>
          <w:sz w:val="28"/>
          <w:szCs w:val="28"/>
          <w:lang w:val="uk-UA"/>
        </w:rPr>
        <w:t>Олег НАЛИВАЙКО</w:t>
      </w:r>
    </w:p>
    <w:p w14:paraId="648FD9D3" w14:textId="0A0AA472" w:rsidR="00FB549C" w:rsidRPr="001944F4" w:rsidRDefault="001874D7" w:rsidP="00613EF8">
      <w:pPr>
        <w:spacing w:before="0" w:after="0"/>
        <w:rPr>
          <w:sz w:val="28"/>
          <w:szCs w:val="28"/>
          <w:lang w:val="uk-UA"/>
        </w:rPr>
      </w:pPr>
      <w:r w:rsidRPr="001944F4">
        <w:rPr>
          <w:sz w:val="28"/>
          <w:szCs w:val="28"/>
          <w:lang w:val="uk-UA"/>
        </w:rPr>
        <w:t>«</w:t>
      </w:r>
      <w:r w:rsidR="001559C5" w:rsidRPr="001944F4">
        <w:rPr>
          <w:sz w:val="28"/>
          <w:szCs w:val="28"/>
          <w:lang w:val="uk-UA"/>
        </w:rPr>
        <w:t>__</w:t>
      </w:r>
      <w:r w:rsidRPr="001944F4">
        <w:rPr>
          <w:sz w:val="28"/>
          <w:szCs w:val="28"/>
          <w:lang w:val="uk-UA"/>
        </w:rPr>
        <w:t xml:space="preserve">» </w:t>
      </w:r>
      <w:r w:rsidR="00EC0555">
        <w:rPr>
          <w:sz w:val="28"/>
          <w:szCs w:val="28"/>
          <w:lang w:val="uk-UA"/>
        </w:rPr>
        <w:t>___________</w:t>
      </w:r>
      <w:r w:rsidR="001559C5" w:rsidRPr="001944F4">
        <w:rPr>
          <w:sz w:val="28"/>
          <w:szCs w:val="28"/>
          <w:lang w:val="uk-UA"/>
        </w:rPr>
        <w:t xml:space="preserve"> </w:t>
      </w:r>
      <w:r w:rsidRPr="001944F4">
        <w:rPr>
          <w:sz w:val="28"/>
          <w:szCs w:val="28"/>
          <w:lang w:val="uk-UA"/>
        </w:rPr>
        <w:t>202</w:t>
      </w:r>
      <w:r w:rsidR="001559C5" w:rsidRPr="001944F4">
        <w:rPr>
          <w:sz w:val="28"/>
          <w:szCs w:val="28"/>
          <w:lang w:val="uk-UA"/>
        </w:rPr>
        <w:t>5</w:t>
      </w:r>
      <w:r w:rsidRPr="001944F4">
        <w:rPr>
          <w:sz w:val="28"/>
          <w:szCs w:val="28"/>
          <w:lang w:val="uk-UA"/>
        </w:rPr>
        <w:t xml:space="preserve"> року</w:t>
      </w:r>
    </w:p>
    <w:sectPr w:rsidR="00FB549C" w:rsidRPr="001944F4" w:rsidSect="006C5F81">
      <w:pgSz w:w="11906" w:h="16838"/>
      <w:pgMar w:top="709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D7"/>
    <w:rsid w:val="000112BA"/>
    <w:rsid w:val="00075426"/>
    <w:rsid w:val="0007637A"/>
    <w:rsid w:val="000A5B95"/>
    <w:rsid w:val="000B4A8D"/>
    <w:rsid w:val="000E428B"/>
    <w:rsid w:val="001559C5"/>
    <w:rsid w:val="00163DBC"/>
    <w:rsid w:val="001660E8"/>
    <w:rsid w:val="001874D7"/>
    <w:rsid w:val="001944F4"/>
    <w:rsid w:val="001E3705"/>
    <w:rsid w:val="00216461"/>
    <w:rsid w:val="00280691"/>
    <w:rsid w:val="002C5E06"/>
    <w:rsid w:val="002D58C3"/>
    <w:rsid w:val="002F246F"/>
    <w:rsid w:val="002F53F7"/>
    <w:rsid w:val="00301837"/>
    <w:rsid w:val="003278AF"/>
    <w:rsid w:val="00383DF3"/>
    <w:rsid w:val="00386611"/>
    <w:rsid w:val="00393AD3"/>
    <w:rsid w:val="003E400D"/>
    <w:rsid w:val="004306B9"/>
    <w:rsid w:val="00435CD3"/>
    <w:rsid w:val="004B3848"/>
    <w:rsid w:val="004B6E0B"/>
    <w:rsid w:val="00544761"/>
    <w:rsid w:val="00591FB0"/>
    <w:rsid w:val="005C3254"/>
    <w:rsid w:val="005D69D6"/>
    <w:rsid w:val="006046DF"/>
    <w:rsid w:val="00613EF8"/>
    <w:rsid w:val="006418F6"/>
    <w:rsid w:val="006B0A42"/>
    <w:rsid w:val="006C5F16"/>
    <w:rsid w:val="006C5F81"/>
    <w:rsid w:val="006E047D"/>
    <w:rsid w:val="006F75AF"/>
    <w:rsid w:val="007232B4"/>
    <w:rsid w:val="00754012"/>
    <w:rsid w:val="00762039"/>
    <w:rsid w:val="00882510"/>
    <w:rsid w:val="008906A4"/>
    <w:rsid w:val="008C5746"/>
    <w:rsid w:val="00946F73"/>
    <w:rsid w:val="009612DA"/>
    <w:rsid w:val="00984932"/>
    <w:rsid w:val="00984AB4"/>
    <w:rsid w:val="009F01D6"/>
    <w:rsid w:val="00A25998"/>
    <w:rsid w:val="00A5070E"/>
    <w:rsid w:val="00AB202B"/>
    <w:rsid w:val="00B03539"/>
    <w:rsid w:val="00B264DF"/>
    <w:rsid w:val="00C71557"/>
    <w:rsid w:val="00C970D0"/>
    <w:rsid w:val="00CC1078"/>
    <w:rsid w:val="00D22FCA"/>
    <w:rsid w:val="00DA5FF0"/>
    <w:rsid w:val="00DB033A"/>
    <w:rsid w:val="00DC3C24"/>
    <w:rsid w:val="00DD3B28"/>
    <w:rsid w:val="00E172DD"/>
    <w:rsid w:val="00E55981"/>
    <w:rsid w:val="00EC0555"/>
    <w:rsid w:val="00F032E8"/>
    <w:rsid w:val="00F30932"/>
    <w:rsid w:val="00F31621"/>
    <w:rsid w:val="00F44B9C"/>
    <w:rsid w:val="00FA08CE"/>
    <w:rsid w:val="00FB549C"/>
    <w:rsid w:val="00FC6C95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458"/>
  <w15:docId w15:val="{DA388376-7689-4067-A097-03841EB3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D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4D7"/>
    <w:pPr>
      <w:snapToGrid/>
      <w:spacing w:before="0" w:after="120"/>
      <w:ind w:firstLine="567"/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187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1874D7"/>
    <w:pPr>
      <w:snapToGrid/>
      <w:spacing w:beforeAutospacing="1" w:afterAutospacing="1"/>
    </w:pPr>
    <w:rPr>
      <w:szCs w:val="24"/>
      <w:lang w:val="uk-UA" w:eastAsia="uk-UA"/>
    </w:rPr>
  </w:style>
  <w:style w:type="paragraph" w:customStyle="1" w:styleId="a5">
    <w:name w:val="Нормальний текст"/>
    <w:basedOn w:val="a"/>
    <w:rsid w:val="001874D7"/>
    <w:pPr>
      <w:snapToGrid/>
      <w:spacing w:before="120" w:after="0"/>
      <w:ind w:firstLine="567"/>
      <w:jc w:val="both"/>
    </w:pPr>
    <w:rPr>
      <w:rFonts w:ascii="Antiqua" w:hAnsi="Antiqua"/>
      <w:sz w:val="26"/>
      <w:lang w:val="uk-UA"/>
    </w:rPr>
  </w:style>
  <w:style w:type="character" w:customStyle="1" w:styleId="a6">
    <w:name w:val="Назва Знак"/>
    <w:link w:val="a7"/>
    <w:locked/>
    <w:rsid w:val="001874D7"/>
    <w:rPr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1874D7"/>
    <w:pPr>
      <w:snapToGrid/>
      <w:spacing w:before="0" w:after="0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187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spanrvts0">
    <w:name w:val="span_rvts0"/>
    <w:rsid w:val="00613EF8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rsid w:val="00613EF8"/>
    <w:rPr>
      <w:rFonts w:ascii="Times New Roman" w:eastAsia="Times New Roman" w:hAnsi="Times New Roman" w:cs="Times New Roman" w:hint="default"/>
      <w:b/>
      <w:bCs/>
      <w:i w:val="0"/>
      <w:iCs w:val="0"/>
      <w:sz w:val="32"/>
      <w:szCs w:val="32"/>
    </w:rPr>
  </w:style>
  <w:style w:type="character" w:styleId="a8">
    <w:name w:val="Hyperlink"/>
    <w:basedOn w:val="a0"/>
    <w:uiPriority w:val="99"/>
    <w:unhideWhenUsed/>
    <w:rsid w:val="00FF229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2294"/>
    <w:rPr>
      <w:color w:val="605E5C"/>
      <w:shd w:val="clear" w:color="auto" w:fill="E1DFDD"/>
    </w:rPr>
  </w:style>
  <w:style w:type="paragraph" w:customStyle="1" w:styleId="10">
    <w:name w:val="Обычный1"/>
    <w:rsid w:val="00FF22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3864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Олексій Тарасенко</cp:lastModifiedBy>
  <cp:revision>42</cp:revision>
  <dcterms:created xsi:type="dcterms:W3CDTF">2023-08-03T12:35:00Z</dcterms:created>
  <dcterms:modified xsi:type="dcterms:W3CDTF">2025-04-30T11:29:00Z</dcterms:modified>
</cp:coreProperties>
</file>