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24" w:rsidRDefault="006E1F24" w:rsidP="00364F2B">
      <w:pPr>
        <w:shd w:val="clear" w:color="auto" w:fill="FFFFFF"/>
        <w:spacing w:after="0" w:line="240" w:lineRule="auto"/>
        <w:ind w:firstLine="9923"/>
        <w:jc w:val="right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6E1F24" w:rsidRPr="004A7EC1" w:rsidRDefault="006E1F24" w:rsidP="00293FC0">
      <w:pPr>
        <w:shd w:val="clear" w:color="auto" w:fill="FFFFFF"/>
        <w:spacing w:after="0" w:line="240" w:lineRule="auto"/>
        <w:ind w:left="9912" w:firstLine="11"/>
        <w:jc w:val="right"/>
        <w:rPr>
          <w:rFonts w:ascii="Times New Roman" w:hAnsi="Times New Roman"/>
          <w:sz w:val="28"/>
          <w:szCs w:val="24"/>
          <w:lang w:val="uk-UA" w:eastAsia="ru-RU"/>
        </w:rPr>
      </w:pPr>
      <w:r w:rsidRPr="00261621">
        <w:rPr>
          <w:rFonts w:ascii="Times New Roman" w:hAnsi="Times New Roman"/>
          <w:b/>
          <w:sz w:val="28"/>
          <w:szCs w:val="24"/>
          <w:lang w:val="uk-UA" w:eastAsia="ru-RU"/>
        </w:rPr>
        <w:t xml:space="preserve">Додаток 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>1</w:t>
      </w:r>
    </w:p>
    <w:p w:rsidR="006E1F24" w:rsidRDefault="006E1F24" w:rsidP="00293FC0">
      <w:pPr>
        <w:shd w:val="clear" w:color="auto" w:fill="FFFFFF"/>
        <w:spacing w:after="0" w:line="240" w:lineRule="auto"/>
        <w:ind w:left="5812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до Звіту Комісії з оцінки корупційних ризиків Держкомтелерадіо за результатами оцінки корупційних  ризиків у діяльності Держкомтелерадіо  </w:t>
      </w:r>
    </w:p>
    <w:p w:rsidR="006E1F24" w:rsidRDefault="006E1F24" w:rsidP="00293FC0">
      <w:pPr>
        <w:spacing w:after="0"/>
        <w:jc w:val="right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6E1F24" w:rsidRDefault="006E1F24" w:rsidP="005D3D68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 xml:space="preserve">Опис </w:t>
      </w:r>
      <w:r w:rsidRPr="004E48DD">
        <w:rPr>
          <w:rFonts w:ascii="Times New Roman" w:hAnsi="Times New Roman"/>
          <w:b/>
          <w:sz w:val="28"/>
          <w:szCs w:val="24"/>
          <w:lang w:val="uk-UA" w:eastAsia="ru-RU"/>
        </w:rPr>
        <w:t>і</w:t>
      </w:r>
      <w:r w:rsidRPr="004E48DD">
        <w:rPr>
          <w:rFonts w:ascii="Times New Roman" w:hAnsi="Times New Roman"/>
          <w:b/>
          <w:sz w:val="28"/>
          <w:lang w:val="uk-UA"/>
        </w:rPr>
        <w:t xml:space="preserve">дентифікованих корупційних ризиків у діяльності </w:t>
      </w:r>
      <w:r>
        <w:rPr>
          <w:rFonts w:ascii="Times New Roman" w:hAnsi="Times New Roman"/>
          <w:b/>
          <w:sz w:val="28"/>
          <w:lang w:val="uk-UA"/>
        </w:rPr>
        <w:t>Держкомтелерадіо</w:t>
      </w:r>
      <w:r w:rsidRPr="004E48DD">
        <w:rPr>
          <w:rFonts w:ascii="Times New Roman" w:hAnsi="Times New Roman"/>
          <w:b/>
          <w:sz w:val="28"/>
          <w:lang w:val="uk-UA"/>
        </w:rPr>
        <w:t>,</w:t>
      </w:r>
      <w:r>
        <w:rPr>
          <w:rFonts w:ascii="Times New Roman" w:hAnsi="Times New Roman"/>
          <w:b/>
          <w:sz w:val="28"/>
          <w:lang w:val="uk-UA"/>
        </w:rPr>
        <w:t xml:space="preserve"> </w:t>
      </w:r>
    </w:p>
    <w:p w:rsidR="006E1F24" w:rsidRPr="004E48DD" w:rsidRDefault="006E1F24" w:rsidP="005D3D68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 w:rsidRPr="004E48DD">
        <w:rPr>
          <w:rFonts w:ascii="Times New Roman" w:hAnsi="Times New Roman"/>
          <w:b/>
          <w:sz w:val="28"/>
          <w:lang w:val="uk-UA"/>
        </w:rPr>
        <w:t>чинники корупційних ризиків та можливі наслідки корупційного правопорушення чи правопорушення, пов’язаного з корупцією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0"/>
        <w:gridCol w:w="11"/>
        <w:gridCol w:w="2969"/>
        <w:gridCol w:w="8"/>
        <w:gridCol w:w="4952"/>
        <w:gridCol w:w="9"/>
        <w:gridCol w:w="2531"/>
        <w:gridCol w:w="20"/>
        <w:gridCol w:w="4536"/>
      </w:tblGrid>
      <w:tr w:rsidR="006E1F24" w:rsidRPr="00D1191F" w:rsidTr="00D1191F">
        <w:tc>
          <w:tcPr>
            <w:tcW w:w="851" w:type="dxa"/>
            <w:gridSpan w:val="2"/>
          </w:tcPr>
          <w:p w:rsidR="006E1F24" w:rsidRPr="00D1191F" w:rsidRDefault="006E1F24" w:rsidP="00D1191F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gridSpan w:val="2"/>
            <w:vAlign w:val="center"/>
          </w:tcPr>
          <w:p w:rsidR="006E1F24" w:rsidRPr="00D1191F" w:rsidRDefault="006E1F24" w:rsidP="00D1191F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Ідентифікований корупційний ризик</w:t>
            </w:r>
          </w:p>
        </w:tc>
        <w:tc>
          <w:tcPr>
            <w:tcW w:w="4961" w:type="dxa"/>
            <w:gridSpan w:val="2"/>
            <w:vAlign w:val="center"/>
          </w:tcPr>
          <w:p w:rsidR="006E1F24" w:rsidRPr="00D1191F" w:rsidRDefault="006E1F24" w:rsidP="00D1191F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Опис ідентифікованого корупційного ризику</w:t>
            </w:r>
          </w:p>
        </w:tc>
        <w:tc>
          <w:tcPr>
            <w:tcW w:w="2551" w:type="dxa"/>
            <w:gridSpan w:val="2"/>
            <w:vAlign w:val="center"/>
          </w:tcPr>
          <w:p w:rsidR="006E1F24" w:rsidRPr="00D1191F" w:rsidRDefault="006E1F24" w:rsidP="00D1191F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Чинники корупційного ризику</w:t>
            </w:r>
          </w:p>
        </w:tc>
        <w:tc>
          <w:tcPr>
            <w:tcW w:w="4536" w:type="dxa"/>
            <w:vAlign w:val="center"/>
          </w:tcPr>
          <w:p w:rsidR="006E1F24" w:rsidRPr="00D1191F" w:rsidRDefault="006E1F24" w:rsidP="00D1191F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Можливі наслідки корупційного правопорушення чи правопорушення, пов’язаного з корупцією</w:t>
            </w:r>
          </w:p>
        </w:tc>
      </w:tr>
      <w:tr w:rsidR="006E1F24" w:rsidRPr="00D1191F" w:rsidTr="00D1191F">
        <w:trPr>
          <w:trHeight w:val="2484"/>
        </w:trPr>
        <w:tc>
          <w:tcPr>
            <w:tcW w:w="840" w:type="dxa"/>
          </w:tcPr>
          <w:p w:rsidR="006E1F24" w:rsidRPr="00D1191F" w:rsidRDefault="006E1F24" w:rsidP="00D1191F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80" w:type="dxa"/>
            <w:gridSpan w:val="2"/>
          </w:tcPr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>Недостатній рівень знань у керівників підвідомчих підприємств, уповноваж-жених осіб з питань запобігання та виявлення корупції підвідомчих під-приємств щодо процедури проведення оцінки коруп-ційних ризиків.</w:t>
            </w:r>
          </w:p>
        </w:tc>
        <w:tc>
          <w:tcPr>
            <w:tcW w:w="4960" w:type="dxa"/>
            <w:gridSpan w:val="2"/>
          </w:tcPr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>Корупційні ризики, наявні в діяльності підвідомчих підприємств, не іденти-фікуються, заходи з усунення (мінімізації) ризиків носять формальний характер і не спрямовані на досягнення належних результатів.</w:t>
            </w:r>
          </w:p>
        </w:tc>
        <w:tc>
          <w:tcPr>
            <w:tcW w:w="2540" w:type="dxa"/>
            <w:gridSpan w:val="2"/>
          </w:tcPr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191F">
              <w:rPr>
                <w:rFonts w:ascii="Times New Roman" w:hAnsi="Times New Roman"/>
                <w:sz w:val="24"/>
                <w:szCs w:val="24"/>
              </w:rPr>
              <w:t>Не</w:t>
            </w: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191F">
              <w:rPr>
                <w:rFonts w:ascii="Times New Roman" w:hAnsi="Times New Roman"/>
                <w:sz w:val="24"/>
                <w:szCs w:val="24"/>
              </w:rPr>
              <w:t>проведения чи неякісне проведення оцінки</w:t>
            </w: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корупційних ризиків, неналежне чи неповне визначення заходів з їх усунення чи мінімізації.</w:t>
            </w:r>
          </w:p>
        </w:tc>
        <w:tc>
          <w:tcPr>
            <w:tcW w:w="4556" w:type="dxa"/>
            <w:gridSpan w:val="2"/>
          </w:tcPr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</w:rPr>
              <w:t>Вчинення корупційних або пов'язаних з</w:t>
            </w: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корупцією правопорушень. Втрата репутації Держкомтелерадіо. Судові процеси  проти Держкомтелерадіо.</w:t>
            </w:r>
          </w:p>
        </w:tc>
      </w:tr>
      <w:tr w:rsidR="006E1F24" w:rsidRPr="00D1191F" w:rsidTr="00D1191F">
        <w:trPr>
          <w:trHeight w:val="2913"/>
        </w:trPr>
        <w:tc>
          <w:tcPr>
            <w:tcW w:w="851" w:type="dxa"/>
            <w:gridSpan w:val="2"/>
          </w:tcPr>
          <w:p w:rsidR="006E1F24" w:rsidRPr="00D1191F" w:rsidRDefault="006E1F24" w:rsidP="00D1191F">
            <w:pPr>
              <w:pStyle w:val="ListParagraph"/>
              <w:tabs>
                <w:tab w:val="left" w:pos="2638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:rsidR="006E1F24" w:rsidRPr="00D1191F" w:rsidRDefault="006E1F24" w:rsidP="00D11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lang w:val="uk-UA"/>
              </w:rPr>
              <w:t xml:space="preserve">Ймовірність уникнення працівниками Держкомтелерадіо відповідальності за порушення вимог </w:t>
            </w: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>зако-нодавства у сфері запо-бігання корупції.</w:t>
            </w:r>
          </w:p>
          <w:p w:rsidR="006E1F24" w:rsidRPr="00D1191F" w:rsidRDefault="006E1F24" w:rsidP="00D11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6E1F24" w:rsidRPr="00D1191F" w:rsidRDefault="006E1F24" w:rsidP="00D11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Можливість </w:t>
            </w:r>
            <w:r w:rsidRPr="00D1191F">
              <w:rPr>
                <w:rFonts w:ascii="Times New Roman" w:hAnsi="Times New Roman"/>
                <w:sz w:val="24"/>
                <w:lang w:val="uk-UA"/>
              </w:rPr>
              <w:t xml:space="preserve">уникнення працівниками Держкомтелерадіо відповідальності за порушення вимог </w:t>
            </w: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законодавства у сфері запобігання корупції із-за недостатнього контролю зі сторони сектору з питань запобігання і виявлення корупції за дот-риманням </w:t>
            </w:r>
            <w:r w:rsidRPr="00D1191F">
              <w:rPr>
                <w:rFonts w:ascii="Times New Roman" w:hAnsi="Times New Roman"/>
                <w:sz w:val="24"/>
                <w:lang w:val="uk-UA"/>
              </w:rPr>
              <w:t xml:space="preserve">працівниками Держкомтелерадіо відповідальності за порушення вимог </w:t>
            </w: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>законодавства у сфері запобігання корупції.</w:t>
            </w:r>
          </w:p>
          <w:p w:rsidR="006E1F24" w:rsidRPr="00D1191F" w:rsidRDefault="006E1F24" w:rsidP="00D11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E1F24" w:rsidRPr="00D1191F" w:rsidRDefault="006E1F24" w:rsidP="00D1191F">
            <w:pPr>
              <w:pStyle w:val="ListParagraph"/>
              <w:tabs>
                <w:tab w:val="left" w:pos="263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Недостатній контроль зі сторони сектору з питань запобігання і виявлення корупції за дотриманням </w:t>
            </w:r>
            <w:r w:rsidRPr="00D1191F">
              <w:rPr>
                <w:rFonts w:ascii="Times New Roman" w:hAnsi="Times New Roman"/>
                <w:sz w:val="24"/>
                <w:lang w:val="uk-UA"/>
              </w:rPr>
              <w:t xml:space="preserve">праців-никами Держкомтеле-радіо відповідальності за порушення вимог </w:t>
            </w: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>законодавства у сфері запобігання корупції.</w:t>
            </w:r>
          </w:p>
        </w:tc>
        <w:tc>
          <w:tcPr>
            <w:tcW w:w="4536" w:type="dxa"/>
            <w:vAlign w:val="center"/>
          </w:tcPr>
          <w:p w:rsidR="006E1F24" w:rsidRPr="00D1191F" w:rsidRDefault="006E1F24" w:rsidP="00D1191F">
            <w:pPr>
              <w:pStyle w:val="ListParagraph"/>
              <w:tabs>
                <w:tab w:val="left" w:pos="263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>Притягнення до відповідальності як працівників сектору з питань запобігання і виявлення корупції так і інших посадових осіб Держкомтелерадіо за невиконання/-несвоєчасне виконання Закону України «Про запобігання корупції».</w:t>
            </w:r>
          </w:p>
          <w:p w:rsidR="006E1F24" w:rsidRPr="00D1191F" w:rsidRDefault="006E1F24" w:rsidP="00D1191F">
            <w:pPr>
              <w:pStyle w:val="ListParagraph"/>
              <w:tabs>
                <w:tab w:val="left" w:pos="263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pStyle w:val="ListParagraph"/>
              <w:tabs>
                <w:tab w:val="left" w:pos="263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pStyle w:val="ListParagraph"/>
              <w:tabs>
                <w:tab w:val="left" w:pos="263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pStyle w:val="ListParagraph"/>
              <w:tabs>
                <w:tab w:val="left" w:pos="263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1F24" w:rsidRPr="00D1191F" w:rsidTr="00D1191F">
        <w:tc>
          <w:tcPr>
            <w:tcW w:w="851" w:type="dxa"/>
            <w:gridSpan w:val="2"/>
          </w:tcPr>
          <w:p w:rsidR="006E1F24" w:rsidRPr="00D1191F" w:rsidRDefault="006E1F24" w:rsidP="00D1191F">
            <w:pPr>
              <w:pStyle w:val="ListParagraph"/>
              <w:tabs>
                <w:tab w:val="left" w:pos="2638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  <w:gridSpan w:val="2"/>
          </w:tcPr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eastAsia="ru-RU"/>
              </w:rPr>
              <w:t>Ймовірність необ’єк</w:t>
            </w:r>
            <w:r w:rsidRPr="00D119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D1191F">
              <w:rPr>
                <w:rFonts w:ascii="Times New Roman" w:hAnsi="Times New Roman"/>
                <w:sz w:val="24"/>
                <w:szCs w:val="24"/>
                <w:lang w:eastAsia="ru-RU"/>
              </w:rPr>
              <w:t>тивного, несвоєчасного розгляду звернень, нена</w:t>
            </w:r>
            <w:r w:rsidRPr="00D119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D1191F">
              <w:rPr>
                <w:rFonts w:ascii="Times New Roman" w:hAnsi="Times New Roman"/>
                <w:sz w:val="24"/>
                <w:szCs w:val="24"/>
                <w:lang w:eastAsia="ru-RU"/>
              </w:rPr>
              <w:t>дання або надання недостовірної інформації.</w:t>
            </w:r>
          </w:p>
        </w:tc>
        <w:tc>
          <w:tcPr>
            <w:tcW w:w="4961" w:type="dxa"/>
            <w:gridSpan w:val="2"/>
          </w:tcPr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eastAsia="ru-RU"/>
              </w:rPr>
              <w:t>Посадові особи Держ</w:t>
            </w:r>
            <w:r w:rsidRPr="00D119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комтелерадіо</w:t>
            </w:r>
            <w:r w:rsidRPr="00D11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 час розгляду звернень громадян, юридичних осіб, звернень на гарячу лінію, запитів на публічну інформацію порушують строки розгляду, здійснюють розгляд не об’єктивно, не надають або надають неповну інформацію. </w:t>
            </w:r>
          </w:p>
        </w:tc>
        <w:tc>
          <w:tcPr>
            <w:tcW w:w="2551" w:type="dxa"/>
            <w:gridSpan w:val="2"/>
          </w:tcPr>
          <w:p w:rsidR="006E1F24" w:rsidRPr="00D1191F" w:rsidRDefault="006E1F24" w:rsidP="00D119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9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Недостатній контроль з боку керівництва за опра</w:t>
            </w:r>
            <w:r w:rsidRPr="00D119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  <w:r w:rsidRPr="00D119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цюванням </w:t>
            </w:r>
            <w:r w:rsidRPr="00D1191F">
              <w:rPr>
                <w:rFonts w:ascii="Times New Roman" w:hAnsi="Times New Roman"/>
                <w:sz w:val="24"/>
                <w:szCs w:val="24"/>
                <w:lang w:eastAsia="ru-RU"/>
              </w:rPr>
              <w:t>звернень громадян, юридичних осіб, звернень на гарячу лінію, запитів на публічну інфор</w:t>
            </w:r>
            <w:r w:rsidRPr="00D119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D1191F">
              <w:rPr>
                <w:rFonts w:ascii="Times New Roman" w:hAnsi="Times New Roman"/>
                <w:sz w:val="24"/>
                <w:szCs w:val="24"/>
                <w:lang w:eastAsia="ru-RU"/>
              </w:rPr>
              <w:t>мацію, тощо.</w:t>
            </w:r>
          </w:p>
          <w:p w:rsidR="006E1F24" w:rsidRPr="00D1191F" w:rsidRDefault="006E1F24" w:rsidP="00D119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D1191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Недостатній рівень персональної відповідальності пра</w:t>
            </w:r>
            <w:r w:rsidRPr="00D1191F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-</w:t>
            </w:r>
            <w:r w:rsidRPr="00D1191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цівників. </w:t>
            </w:r>
          </w:p>
          <w:p w:rsidR="006E1F24" w:rsidRPr="00D1191F" w:rsidRDefault="006E1F24" w:rsidP="00D119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1191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Неналежне ви</w:t>
            </w:r>
            <w:r w:rsidRPr="00D1191F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-</w:t>
            </w:r>
            <w:r w:rsidRPr="00D1191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конання службових повноважень.</w:t>
            </w:r>
          </w:p>
        </w:tc>
        <w:tc>
          <w:tcPr>
            <w:tcW w:w="4536" w:type="dxa"/>
          </w:tcPr>
          <w:p w:rsidR="006E1F24" w:rsidRPr="00D1191F" w:rsidRDefault="006E1F24" w:rsidP="00D11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Порушення прав заявників. </w:t>
            </w: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Втрата репутації органу.</w:t>
            </w:r>
            <w:r w:rsidRPr="00D11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eastAsia="ru-RU"/>
              </w:rPr>
              <w:t>Судові справи.</w:t>
            </w:r>
          </w:p>
        </w:tc>
      </w:tr>
      <w:tr w:rsidR="006E1F24" w:rsidRPr="00D1191F" w:rsidTr="00D1191F">
        <w:trPr>
          <w:trHeight w:val="3344"/>
        </w:trPr>
        <w:tc>
          <w:tcPr>
            <w:tcW w:w="851" w:type="dxa"/>
            <w:gridSpan w:val="2"/>
          </w:tcPr>
          <w:p w:rsidR="006E1F24" w:rsidRPr="00D1191F" w:rsidRDefault="006E1F24" w:rsidP="00D1191F">
            <w:pPr>
              <w:pStyle w:val="ListParagraph"/>
              <w:tabs>
                <w:tab w:val="left" w:pos="2638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6E1F24" w:rsidRPr="00D1191F" w:rsidRDefault="006E1F24" w:rsidP="00D1191F">
            <w:pPr>
              <w:pStyle w:val="ListParagraph"/>
              <w:tabs>
                <w:tab w:val="left" w:pos="2638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pStyle w:val="ListParagraph"/>
              <w:tabs>
                <w:tab w:val="left" w:pos="2638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pStyle w:val="ListParagraph"/>
              <w:tabs>
                <w:tab w:val="left" w:pos="2638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Дискреційні повноважен-ня працівників апарату Держкомтелерадіо під час підготовки тендерної документації щодо її формування під конкрет-ного постачальника.</w:t>
            </w: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Лобіювання працівниками апарату Держкомтелерадіо інтересів певних учасників закупівель товарів, робіт і послуг, шляхом встановлення дискримінаційних вимог при підготовці тендерної документації для проведення процедур закупівель товарів, робіт і послуг.</w:t>
            </w:r>
          </w:p>
        </w:tc>
        <w:tc>
          <w:tcPr>
            <w:tcW w:w="2551" w:type="dxa"/>
            <w:gridSpan w:val="2"/>
            <w:vAlign w:val="center"/>
          </w:tcPr>
          <w:p w:rsidR="006E1F24" w:rsidRPr="00D1191F" w:rsidRDefault="006E1F24" w:rsidP="00D1191F">
            <w:pPr>
              <w:tabs>
                <w:tab w:val="left" w:pos="263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 Неналежне виконан-ня працівниками Держкомтелерадіо  своїх службових пов-новажень. </w:t>
            </w:r>
          </w:p>
          <w:p w:rsidR="006E1F24" w:rsidRPr="00D1191F" w:rsidRDefault="006E1F24" w:rsidP="00D1191F">
            <w:pPr>
              <w:tabs>
                <w:tab w:val="left" w:pos="263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Приховування пра-цівниками, які безпо-середньо залучені до підготовки тендерної документації, наяв-ного конфлікту інтере-сів, бажання отримати неправомірну вигоду.</w:t>
            </w:r>
          </w:p>
        </w:tc>
        <w:tc>
          <w:tcPr>
            <w:tcW w:w="4536" w:type="dxa"/>
          </w:tcPr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Порушення вимог чинного законодавства. Збільшення витрат. </w:t>
            </w:r>
            <w:r w:rsidRPr="00D11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Втрата репутації органу.</w:t>
            </w:r>
            <w:r w:rsidRPr="00D11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Судові справи.</w:t>
            </w:r>
          </w:p>
        </w:tc>
      </w:tr>
      <w:tr w:rsidR="006E1F24" w:rsidRPr="00D1191F" w:rsidTr="00D1191F">
        <w:tc>
          <w:tcPr>
            <w:tcW w:w="851" w:type="dxa"/>
            <w:gridSpan w:val="2"/>
          </w:tcPr>
          <w:p w:rsidR="006E1F24" w:rsidRPr="00D1191F" w:rsidRDefault="006E1F24" w:rsidP="00D1191F">
            <w:pPr>
              <w:pStyle w:val="ListParagraph"/>
              <w:tabs>
                <w:tab w:val="left" w:pos="2638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  <w:gridSpan w:val="2"/>
            <w:vAlign w:val="center"/>
          </w:tcPr>
          <w:p w:rsidR="006E1F24" w:rsidRPr="00D1191F" w:rsidRDefault="006E1F24" w:rsidP="00D11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>Недостатня урегульова-ність процедури прове-дення допорогових закупівель.</w:t>
            </w:r>
          </w:p>
          <w:p w:rsidR="006E1F24" w:rsidRPr="00D1191F" w:rsidRDefault="006E1F24" w:rsidP="00D11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порядку здійснення допорогових закупівель відсутня процедура щодо закупівлі товарів, робіт і послуг без застосування електронної системи, якщо критерієм відбору є їх якість. </w:t>
            </w:r>
          </w:p>
        </w:tc>
        <w:tc>
          <w:tcPr>
            <w:tcW w:w="2551" w:type="dxa"/>
            <w:gridSpan w:val="2"/>
            <w:vAlign w:val="center"/>
          </w:tcPr>
          <w:p w:rsidR="006E1F24" w:rsidRPr="00D1191F" w:rsidRDefault="006E1F24" w:rsidP="00D1191F">
            <w:pPr>
              <w:tabs>
                <w:tab w:val="left" w:pos="263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 застосуванні даної процедури вірогідно отримати неякісний товар або послугу  за найменшою ціною.</w:t>
            </w:r>
          </w:p>
        </w:tc>
        <w:tc>
          <w:tcPr>
            <w:tcW w:w="4536" w:type="dxa"/>
          </w:tcPr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Порушення вимог чинного законодавства. Збільшення витрат, втрата фінансових і матеріальних ресурсів. </w:t>
            </w:r>
          </w:p>
        </w:tc>
      </w:tr>
      <w:tr w:rsidR="006E1F24" w:rsidRPr="00D1191F" w:rsidTr="00D1191F">
        <w:trPr>
          <w:trHeight w:val="2762"/>
        </w:trPr>
        <w:tc>
          <w:tcPr>
            <w:tcW w:w="851" w:type="dxa"/>
            <w:gridSpan w:val="2"/>
          </w:tcPr>
          <w:p w:rsidR="006E1F24" w:rsidRPr="00D1191F" w:rsidRDefault="006E1F24" w:rsidP="00D1191F">
            <w:pPr>
              <w:pStyle w:val="ListParagraph"/>
              <w:tabs>
                <w:tab w:val="left" w:pos="2638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  <w:gridSpan w:val="2"/>
            <w:vAlign w:val="center"/>
          </w:tcPr>
          <w:p w:rsidR="006E1F24" w:rsidRPr="00D1191F" w:rsidRDefault="006E1F24" w:rsidP="00D11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Ймовірність неподання або подання неповної інформації, визначеної у переліку наборів даних, які підлягають оприлюд-ненню у формі відкритих даних, наофіційному веб-сайті Держкомтелерадіо та на Єдиному державно-му веб-порталі відкритих даних.</w:t>
            </w:r>
          </w:p>
          <w:p w:rsidR="006E1F24" w:rsidRPr="00D1191F" w:rsidRDefault="006E1F24" w:rsidP="00D11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6E1F24" w:rsidRPr="00D1191F" w:rsidRDefault="006E1F24" w:rsidP="00D11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Можливість необґрунтованого приховування інформації про діяльність Держкомтелерадіо шляхом</w:t>
            </w:r>
            <w:r w:rsidRPr="00D1191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неподання або подання неповної інформації для її оприлюднення на його офіційному веб-сайті та на Єдиному державному веб-порталі відкритих даних</w:t>
            </w: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E1F24" w:rsidRPr="00D1191F" w:rsidRDefault="006E1F24" w:rsidP="00D1191F">
            <w:pPr>
              <w:tabs>
                <w:tab w:val="left" w:pos="263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1. Неналежне виконан-ня працівниками Держкомтелерадіо  своїх службових пов-новажень. </w:t>
            </w: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2. Приховування пра-цівниками</w:t>
            </w:r>
            <w:r w:rsidRPr="00D1191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інформації, яка підлягає опри-людненню на офіцій-ному веб-сайті Держ-комтелерадіо та на Єдиному державному веб-порталі відкритих даних.</w:t>
            </w: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191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r w:rsidRPr="00D119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Недостатній конт-роль з боку керів-ництва за</w:t>
            </w:r>
            <w:r w:rsidRPr="00D1191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поданням</w:t>
            </w:r>
            <w:bookmarkStart w:id="0" w:name="_GoBack"/>
            <w:bookmarkEnd w:id="0"/>
            <w:r w:rsidRPr="00D1191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інформації для її оприлюднення на офіційному веб-сайті Держкомтелерадіо та на Єдиному держав-ному веб-порталі відк-ритих даних.</w:t>
            </w:r>
          </w:p>
        </w:tc>
        <w:tc>
          <w:tcPr>
            <w:tcW w:w="4536" w:type="dxa"/>
          </w:tcPr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191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Притягнення до відповідальності. Погіршення ділової репутації Держкомтелерадіо. Втрата довіри громадянського суспільства до органу влади.</w:t>
            </w:r>
          </w:p>
        </w:tc>
      </w:tr>
      <w:tr w:rsidR="006E1F24" w:rsidRPr="00D1191F" w:rsidTr="00D1191F">
        <w:trPr>
          <w:trHeight w:val="5792"/>
        </w:trPr>
        <w:tc>
          <w:tcPr>
            <w:tcW w:w="851" w:type="dxa"/>
            <w:gridSpan w:val="2"/>
          </w:tcPr>
          <w:p w:rsidR="006E1F24" w:rsidRPr="00D1191F" w:rsidRDefault="006E1F24" w:rsidP="00D1191F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7" w:type="dxa"/>
            <w:gridSpan w:val="2"/>
          </w:tcPr>
          <w:p w:rsidR="006E1F24" w:rsidRPr="00D1191F" w:rsidRDefault="006E1F24" w:rsidP="00D1191F">
            <w:pPr>
              <w:pStyle w:val="PlainText"/>
              <w:ind w:left="3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lang w:val="uk-UA"/>
              </w:rPr>
              <w:t>Недостатня врегульова-ність процедури премію-вання працівників апарату Держкомтелерадіо в час-тині встановлення премій керівникам самостійних структурних підрозділів.</w:t>
            </w:r>
          </w:p>
          <w:p w:rsidR="006E1F24" w:rsidRPr="00D1191F" w:rsidRDefault="006E1F24" w:rsidP="00D1191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Через недостатню </w:t>
            </w:r>
            <w:r w:rsidRPr="00D1191F">
              <w:rPr>
                <w:rFonts w:ascii="Times New Roman" w:hAnsi="Times New Roman"/>
                <w:sz w:val="24"/>
                <w:lang w:val="uk-UA"/>
              </w:rPr>
              <w:t>врегульованість процедури преміювання працівників апарату Держкомтелерадіо в частині встановлення премій керівникам самостійних структурних підрозділів</w:t>
            </w: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можлива виплата премій у необгрунтованих розмірах чи виникнення конфлікту інтересів при підписанні розпорядчих актів.</w:t>
            </w:r>
          </w:p>
        </w:tc>
        <w:tc>
          <w:tcPr>
            <w:tcW w:w="2551" w:type="dxa"/>
            <w:gridSpan w:val="2"/>
          </w:tcPr>
          <w:p w:rsidR="006E1F24" w:rsidRPr="00D1191F" w:rsidRDefault="006E1F24" w:rsidP="00D1191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у Положенні про премі-ювання та надання матеріальної і грошо-вої допомоги держав-ним службовцям Держкомтелерадіо процедури погоджен-ня</w:t>
            </w:r>
            <w:r w:rsidRPr="00D1191F">
              <w:rPr>
                <w:rFonts w:ascii="Times New Roman" w:hAnsi="Times New Roman"/>
                <w:sz w:val="24"/>
                <w:lang w:val="uk-UA"/>
              </w:rPr>
              <w:t xml:space="preserve"> встановлення пре-мій керівникам самос-тійних структурних підрозділів за подан-ням їх безпосередніх керівників.</w:t>
            </w:r>
          </w:p>
          <w:p w:rsidR="006E1F24" w:rsidRPr="00D1191F" w:rsidRDefault="006E1F24" w:rsidP="00D11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lang w:val="uk-UA"/>
              </w:rPr>
              <w:t>Одноособове прийняття рішення керівником апарату про встановлення премій керівникам самостійних струк-турних підрозділів.</w:t>
            </w:r>
          </w:p>
        </w:tc>
        <w:tc>
          <w:tcPr>
            <w:tcW w:w="4536" w:type="dxa"/>
            <w:vAlign w:val="center"/>
          </w:tcPr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</w:rPr>
              <w:t>Вчинення корупційних або пов'язаних з</w:t>
            </w: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корупцією правопорушень. Втрата репутації Держкомтелерадіо. Судові процеси  проти Держкомтелерадіо.</w:t>
            </w: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1F24" w:rsidRPr="00D1191F" w:rsidTr="00D1191F">
        <w:trPr>
          <w:trHeight w:val="3068"/>
        </w:trPr>
        <w:tc>
          <w:tcPr>
            <w:tcW w:w="851" w:type="dxa"/>
            <w:gridSpan w:val="2"/>
          </w:tcPr>
          <w:p w:rsidR="006E1F24" w:rsidRPr="00D1191F" w:rsidRDefault="006E1F24" w:rsidP="00D1191F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77" w:type="dxa"/>
            <w:gridSpan w:val="2"/>
          </w:tcPr>
          <w:p w:rsidR="006E1F24" w:rsidRPr="00D1191F" w:rsidRDefault="006E1F24" w:rsidP="00D11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>Ймовірність прийняття на посади державної служби осіб, які не відповідають встановленим вимогам, або тих, які подали недостовірні відомості у зв’язку  з відсутністю законодавчого обов’язку проведення спеціальної перевірки.</w:t>
            </w:r>
          </w:p>
          <w:p w:rsidR="006E1F24" w:rsidRPr="00D1191F" w:rsidRDefault="006E1F24" w:rsidP="00D1191F">
            <w:pPr>
              <w:pStyle w:val="PlainText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6E1F24" w:rsidRPr="00D1191F" w:rsidRDefault="006E1F24" w:rsidP="00D11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>Можливість прийняття на посади державної служби осіб, які не відповідають встановленим вимогам, або тих, які подали недостовірні відомості у зв’язку  з відсутністю законодавчого обов’язку проведення спеціальної перевірки.</w:t>
            </w:r>
          </w:p>
          <w:p w:rsidR="006E1F24" w:rsidRPr="00D1191F" w:rsidRDefault="006E1F24" w:rsidP="00D11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gridSpan w:val="2"/>
          </w:tcPr>
          <w:p w:rsidR="006E1F24" w:rsidRPr="00D1191F" w:rsidRDefault="006E1F24" w:rsidP="00D1191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>Приватний ін.-терес посадових осіб щодо надання переваг певним претендентам на зайняття посад державної служби.</w:t>
            </w:r>
          </w:p>
          <w:p w:rsidR="006E1F24" w:rsidRPr="00D1191F" w:rsidRDefault="006E1F24" w:rsidP="00D1191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проведення заходів із підвищення кваліфікації працівни-ків, які проводять спеціальну перевірку. </w:t>
            </w:r>
          </w:p>
        </w:tc>
        <w:tc>
          <w:tcPr>
            <w:tcW w:w="4536" w:type="dxa"/>
            <w:vAlign w:val="center"/>
          </w:tcPr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</w:rPr>
              <w:t>Вчинення корупційних або пов'язаних з</w:t>
            </w: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корупцією правопорушень. Втрата репутації Держкомтелерадіо. Судові процеси  проти Держкомтелерадіо.</w:t>
            </w: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1F24" w:rsidRPr="00D1191F" w:rsidTr="00D1191F">
        <w:trPr>
          <w:trHeight w:val="281"/>
        </w:trPr>
        <w:tc>
          <w:tcPr>
            <w:tcW w:w="851" w:type="dxa"/>
            <w:gridSpan w:val="2"/>
          </w:tcPr>
          <w:p w:rsidR="006E1F24" w:rsidRPr="00D1191F" w:rsidRDefault="006E1F24" w:rsidP="00D1191F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977" w:type="dxa"/>
            <w:gridSpan w:val="2"/>
          </w:tcPr>
          <w:p w:rsidR="006E1F24" w:rsidRPr="00D1191F" w:rsidRDefault="006E1F24" w:rsidP="00D11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>Ймовірність викорис-тання офіційних бланків Держкомтелерадіо працівниками та/або тре-тіми особами з метою отримання неправомірної вигоди.</w:t>
            </w:r>
          </w:p>
        </w:tc>
        <w:tc>
          <w:tcPr>
            <w:tcW w:w="4961" w:type="dxa"/>
            <w:gridSpan w:val="2"/>
          </w:tcPr>
          <w:p w:rsidR="006E1F24" w:rsidRPr="00D1191F" w:rsidRDefault="006E1F24" w:rsidP="00D11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>Можливість використання офіційних бланків Держкомтелерадіо працівниками та/або тре-тіми особами з метою отримання неправомірної вигоди.</w:t>
            </w:r>
          </w:p>
          <w:p w:rsidR="006E1F24" w:rsidRPr="00D1191F" w:rsidRDefault="006E1F24" w:rsidP="00D11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gridSpan w:val="2"/>
          </w:tcPr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нумерації офіційних бланків Держкомтелерадіо створює передумови для підроблення офіційних документів</w:t>
            </w:r>
          </w:p>
        </w:tc>
        <w:tc>
          <w:tcPr>
            <w:tcW w:w="4536" w:type="dxa"/>
            <w:vAlign w:val="center"/>
          </w:tcPr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</w:rPr>
              <w:t>Вчинення корупційних або пов'язаних з</w:t>
            </w: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корупцією правопорушень. Втрата репутації Держкомтелерадіо. Судові процеси  проти Держкомтелерадіо.</w:t>
            </w: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1F24" w:rsidRPr="00D1191F" w:rsidTr="00D1191F">
        <w:trPr>
          <w:trHeight w:val="2064"/>
        </w:trPr>
        <w:tc>
          <w:tcPr>
            <w:tcW w:w="851" w:type="dxa"/>
            <w:gridSpan w:val="2"/>
          </w:tcPr>
          <w:p w:rsidR="006E1F24" w:rsidRPr="00D1191F" w:rsidRDefault="006E1F24" w:rsidP="00D1191F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977" w:type="dxa"/>
            <w:gridSpan w:val="2"/>
          </w:tcPr>
          <w:p w:rsidR="006E1F24" w:rsidRPr="00D1191F" w:rsidRDefault="006E1F24" w:rsidP="00D11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>Ймовірність несвоєчас-ного надання адміністра-тивних послуг суб’єктам одержання адміністра-тивних послуг.</w:t>
            </w:r>
          </w:p>
        </w:tc>
        <w:tc>
          <w:tcPr>
            <w:tcW w:w="4961" w:type="dxa"/>
            <w:gridSpan w:val="2"/>
          </w:tcPr>
          <w:p w:rsidR="006E1F24" w:rsidRPr="00D1191F" w:rsidRDefault="006E1F24" w:rsidP="00D11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Можливість несвоєчасного надання адміністративних послуг суб’єктам одер-жання адміністративних послуг </w:t>
            </w:r>
            <w:r w:rsidRPr="00D119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посадовими особами апарату Держкомтелерадіо</w:t>
            </w: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>, які здійснюють функції з надання адміністративних послуг.</w:t>
            </w:r>
          </w:p>
        </w:tc>
        <w:tc>
          <w:tcPr>
            <w:tcW w:w="2551" w:type="dxa"/>
            <w:gridSpan w:val="2"/>
            <w:vAlign w:val="center"/>
          </w:tcPr>
          <w:p w:rsidR="006E1F24" w:rsidRPr="00D1191F" w:rsidRDefault="006E1F24" w:rsidP="00D11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Недостатній контроль з боку керівництва</w:t>
            </w:r>
            <w:r w:rsidRPr="00D119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за</w:t>
            </w: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несвоєчасним  надан-ням адміністративних послуг суб’єктам одержання адмі-ністративних послуг.</w:t>
            </w:r>
          </w:p>
          <w:p w:rsidR="006E1F24" w:rsidRPr="00D1191F" w:rsidRDefault="006E1F24" w:rsidP="00D11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>Притягнення посадових осіб до відповідальності, втрата репутації Держкомтелерадіо, судові процеси проти Держкомтелерадіо.</w:t>
            </w: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1F24" w:rsidRPr="00D1191F" w:rsidTr="00D1191F">
        <w:trPr>
          <w:trHeight w:val="1486"/>
        </w:trPr>
        <w:tc>
          <w:tcPr>
            <w:tcW w:w="851" w:type="dxa"/>
            <w:gridSpan w:val="2"/>
          </w:tcPr>
          <w:p w:rsidR="006E1F24" w:rsidRPr="00D1191F" w:rsidRDefault="006E1F24" w:rsidP="00D1191F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977" w:type="dxa"/>
            <w:gridSpan w:val="2"/>
          </w:tcPr>
          <w:p w:rsidR="006E1F24" w:rsidRPr="00D1191F" w:rsidRDefault="006E1F24" w:rsidP="00D119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>Безпосередні контакти між суб’єктами одержан-ня адміністративних пос-луг та посадовими особа-ми Держкомтелерадіо.</w:t>
            </w:r>
          </w:p>
        </w:tc>
        <w:tc>
          <w:tcPr>
            <w:tcW w:w="4961" w:type="dxa"/>
            <w:gridSpan w:val="2"/>
          </w:tcPr>
          <w:p w:rsidR="006E1F24" w:rsidRPr="00D1191F" w:rsidRDefault="006E1F24" w:rsidP="00D11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>Можливість л</w:t>
            </w:r>
            <w:r w:rsidRPr="00D119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обіювання посадовими особами апарату Держкомтелерадіо</w:t>
            </w: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>, які здійснюють функції з надання адміністративних послуг, інтересів певних суб’єктів одержання адмі-ністративних послуг.</w:t>
            </w:r>
          </w:p>
        </w:tc>
        <w:tc>
          <w:tcPr>
            <w:tcW w:w="2551" w:type="dxa"/>
            <w:gridSpan w:val="2"/>
          </w:tcPr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Недостатній контроль з боку керівництва</w:t>
            </w:r>
            <w:r w:rsidRPr="00D119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за процедурою надання адміністративних послуг.</w:t>
            </w:r>
          </w:p>
        </w:tc>
        <w:tc>
          <w:tcPr>
            <w:tcW w:w="4536" w:type="dxa"/>
            <w:vAlign w:val="center"/>
          </w:tcPr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91F">
              <w:rPr>
                <w:rFonts w:ascii="Times New Roman" w:hAnsi="Times New Roman"/>
                <w:sz w:val="24"/>
                <w:szCs w:val="24"/>
              </w:rPr>
              <w:t>Вчинення корупційних або пов'язаних з</w:t>
            </w:r>
            <w:r w:rsidRPr="00D119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корупцією правопорушень. Втрата репутації Держкомтелерадіо. Судові процеси  проти Держкомтелерадіо.</w:t>
            </w:r>
          </w:p>
          <w:p w:rsidR="006E1F24" w:rsidRPr="00D1191F" w:rsidRDefault="006E1F24" w:rsidP="00D1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E1F24" w:rsidRDefault="006E1F24" w:rsidP="00D321CA">
      <w:pPr>
        <w:pStyle w:val="ListParagraph"/>
        <w:jc w:val="both"/>
        <w:rPr>
          <w:rFonts w:ascii="Times New Roman" w:hAnsi="Times New Roman"/>
          <w:b/>
          <w:sz w:val="28"/>
          <w:lang w:val="uk-UA"/>
        </w:rPr>
      </w:pPr>
    </w:p>
    <w:sectPr w:rsidR="006E1F24" w:rsidSect="00293FC0">
      <w:headerReference w:type="default" r:id="rId7"/>
      <w:pgSz w:w="16838" w:h="11906" w:orient="landscape"/>
      <w:pgMar w:top="851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24" w:rsidRDefault="006E1F24" w:rsidP="001A00A2">
      <w:pPr>
        <w:spacing w:after="0" w:line="240" w:lineRule="auto"/>
      </w:pPr>
      <w:r>
        <w:separator/>
      </w:r>
    </w:p>
  </w:endnote>
  <w:endnote w:type="continuationSeparator" w:id="0">
    <w:p w:rsidR="006E1F24" w:rsidRDefault="006E1F24" w:rsidP="001A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24" w:rsidRDefault="006E1F24" w:rsidP="001A00A2">
      <w:pPr>
        <w:spacing w:after="0" w:line="240" w:lineRule="auto"/>
      </w:pPr>
      <w:r>
        <w:separator/>
      </w:r>
    </w:p>
  </w:footnote>
  <w:footnote w:type="continuationSeparator" w:id="0">
    <w:p w:rsidR="006E1F24" w:rsidRDefault="006E1F24" w:rsidP="001A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24" w:rsidRPr="00A337F6" w:rsidRDefault="006E1F24">
    <w:pPr>
      <w:pStyle w:val="Header"/>
      <w:jc w:val="center"/>
      <w:rPr>
        <w:rFonts w:ascii="Times New Roman" w:hAnsi="Times New Roman"/>
        <w:sz w:val="20"/>
        <w:szCs w:val="20"/>
      </w:rPr>
    </w:pPr>
    <w:r w:rsidRPr="00A337F6">
      <w:rPr>
        <w:rFonts w:ascii="Times New Roman" w:hAnsi="Times New Roman"/>
        <w:sz w:val="20"/>
        <w:szCs w:val="20"/>
      </w:rPr>
      <w:fldChar w:fldCharType="begin"/>
    </w:r>
    <w:r w:rsidRPr="00A337F6">
      <w:rPr>
        <w:rFonts w:ascii="Times New Roman" w:hAnsi="Times New Roman"/>
        <w:sz w:val="20"/>
        <w:szCs w:val="20"/>
      </w:rPr>
      <w:instrText>PAGE   \* MERGEFORMAT</w:instrText>
    </w:r>
    <w:r w:rsidRPr="00A337F6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5</w:t>
    </w:r>
    <w:r w:rsidRPr="00A337F6">
      <w:rPr>
        <w:rFonts w:ascii="Times New Roman" w:hAnsi="Times New Roman"/>
        <w:sz w:val="20"/>
        <w:szCs w:val="20"/>
      </w:rPr>
      <w:fldChar w:fldCharType="end"/>
    </w:r>
  </w:p>
  <w:p w:rsidR="006E1F24" w:rsidRDefault="006E1F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A6B"/>
    <w:multiLevelType w:val="hybridMultilevel"/>
    <w:tmpl w:val="332EB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712D0D"/>
    <w:multiLevelType w:val="hybridMultilevel"/>
    <w:tmpl w:val="311A27AC"/>
    <w:lvl w:ilvl="0" w:tplc="4322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6F2978"/>
    <w:multiLevelType w:val="hybridMultilevel"/>
    <w:tmpl w:val="4622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4D2687"/>
    <w:multiLevelType w:val="hybridMultilevel"/>
    <w:tmpl w:val="2A009D1C"/>
    <w:lvl w:ilvl="0" w:tplc="16FC3792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4">
    <w:nsid w:val="3F613547"/>
    <w:multiLevelType w:val="hybridMultilevel"/>
    <w:tmpl w:val="12A24522"/>
    <w:lvl w:ilvl="0" w:tplc="D43A76CC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5">
    <w:nsid w:val="43BF3ACF"/>
    <w:multiLevelType w:val="hybridMultilevel"/>
    <w:tmpl w:val="73526BC6"/>
    <w:lvl w:ilvl="0" w:tplc="116E252C">
      <w:start w:val="1"/>
      <w:numFmt w:val="decimal"/>
      <w:lvlText w:val="%1."/>
      <w:lvlJc w:val="left"/>
      <w:pPr>
        <w:ind w:left="25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6">
    <w:nsid w:val="47BF2F2B"/>
    <w:multiLevelType w:val="hybridMultilevel"/>
    <w:tmpl w:val="7FB4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0866EC"/>
    <w:multiLevelType w:val="hybridMultilevel"/>
    <w:tmpl w:val="A6AA7832"/>
    <w:lvl w:ilvl="0" w:tplc="FE3622E8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8">
    <w:nsid w:val="5D2B062B"/>
    <w:multiLevelType w:val="hybridMultilevel"/>
    <w:tmpl w:val="4A2A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335BEE"/>
    <w:multiLevelType w:val="hybridMultilevel"/>
    <w:tmpl w:val="559CA1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7A5EE2"/>
    <w:multiLevelType w:val="multilevel"/>
    <w:tmpl w:val="895E6FAE"/>
    <w:lvl w:ilvl="0">
      <w:start w:val="1"/>
      <w:numFmt w:val="decimal"/>
      <w:lvlText w:val="%1."/>
      <w:lvlJc w:val="left"/>
      <w:pPr>
        <w:ind w:left="382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8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4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0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6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22" w:hanging="1800"/>
      </w:pPr>
      <w:rPr>
        <w:rFonts w:cs="Times New Roman" w:hint="default"/>
      </w:rPr>
    </w:lvl>
  </w:abstractNum>
  <w:abstractNum w:abstractNumId="11">
    <w:nsid w:val="6ADA6F4B"/>
    <w:multiLevelType w:val="hybridMultilevel"/>
    <w:tmpl w:val="F4B8C0DA"/>
    <w:lvl w:ilvl="0" w:tplc="E48091B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3D7CC9"/>
    <w:multiLevelType w:val="hybridMultilevel"/>
    <w:tmpl w:val="3050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073A5A"/>
    <w:multiLevelType w:val="hybridMultilevel"/>
    <w:tmpl w:val="C3EE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A562E1"/>
    <w:multiLevelType w:val="hybridMultilevel"/>
    <w:tmpl w:val="4E2AF25A"/>
    <w:lvl w:ilvl="0" w:tplc="A2EE21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4C1340"/>
    <w:multiLevelType w:val="hybridMultilevel"/>
    <w:tmpl w:val="57A2470C"/>
    <w:lvl w:ilvl="0" w:tplc="342A902C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  <w:color w:val="666766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15"/>
  </w:num>
  <w:num w:numId="9">
    <w:abstractNumId w:val="9"/>
  </w:num>
  <w:num w:numId="10">
    <w:abstractNumId w:val="10"/>
  </w:num>
  <w:num w:numId="11">
    <w:abstractNumId w:val="6"/>
  </w:num>
  <w:num w:numId="12">
    <w:abstractNumId w:val="14"/>
  </w:num>
  <w:num w:numId="13">
    <w:abstractNumId w:val="13"/>
  </w:num>
  <w:num w:numId="14">
    <w:abstractNumId w:val="0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50F"/>
    <w:rsid w:val="0000090C"/>
    <w:rsid w:val="00011CAD"/>
    <w:rsid w:val="000137DB"/>
    <w:rsid w:val="00013CAC"/>
    <w:rsid w:val="00015C77"/>
    <w:rsid w:val="00024152"/>
    <w:rsid w:val="00037641"/>
    <w:rsid w:val="000407E1"/>
    <w:rsid w:val="000463CE"/>
    <w:rsid w:val="00050200"/>
    <w:rsid w:val="00060770"/>
    <w:rsid w:val="000622AE"/>
    <w:rsid w:val="00064A14"/>
    <w:rsid w:val="00070768"/>
    <w:rsid w:val="00070EBE"/>
    <w:rsid w:val="00081A91"/>
    <w:rsid w:val="0008414D"/>
    <w:rsid w:val="000857DC"/>
    <w:rsid w:val="000875B0"/>
    <w:rsid w:val="000A1160"/>
    <w:rsid w:val="000A35AF"/>
    <w:rsid w:val="000A4993"/>
    <w:rsid w:val="000A6B27"/>
    <w:rsid w:val="000C600C"/>
    <w:rsid w:val="000D2013"/>
    <w:rsid w:val="000D39DF"/>
    <w:rsid w:val="000E1A45"/>
    <w:rsid w:val="000E1EA2"/>
    <w:rsid w:val="000E318B"/>
    <w:rsid w:val="000E37AE"/>
    <w:rsid w:val="000E3A4A"/>
    <w:rsid w:val="000E4B2A"/>
    <w:rsid w:val="000E7F6C"/>
    <w:rsid w:val="000F3588"/>
    <w:rsid w:val="000F43E4"/>
    <w:rsid w:val="000F450E"/>
    <w:rsid w:val="000F47B8"/>
    <w:rsid w:val="000F4A91"/>
    <w:rsid w:val="0011068E"/>
    <w:rsid w:val="00116BFB"/>
    <w:rsid w:val="00117D42"/>
    <w:rsid w:val="00124147"/>
    <w:rsid w:val="0012518E"/>
    <w:rsid w:val="00140E7C"/>
    <w:rsid w:val="00152C1C"/>
    <w:rsid w:val="0016070A"/>
    <w:rsid w:val="00162F7E"/>
    <w:rsid w:val="001639C2"/>
    <w:rsid w:val="00171EF6"/>
    <w:rsid w:val="0017551A"/>
    <w:rsid w:val="00175C9F"/>
    <w:rsid w:val="00177D7F"/>
    <w:rsid w:val="00182573"/>
    <w:rsid w:val="00192371"/>
    <w:rsid w:val="001A00A2"/>
    <w:rsid w:val="001A5B12"/>
    <w:rsid w:val="001A7F15"/>
    <w:rsid w:val="001B3D32"/>
    <w:rsid w:val="001B6043"/>
    <w:rsid w:val="001C7AB8"/>
    <w:rsid w:val="001E3626"/>
    <w:rsid w:val="001F0D7E"/>
    <w:rsid w:val="001F6B8F"/>
    <w:rsid w:val="00200906"/>
    <w:rsid w:val="00205144"/>
    <w:rsid w:val="0021101E"/>
    <w:rsid w:val="002219B8"/>
    <w:rsid w:val="00222287"/>
    <w:rsid w:val="002228D8"/>
    <w:rsid w:val="00223235"/>
    <w:rsid w:val="002363C8"/>
    <w:rsid w:val="00250795"/>
    <w:rsid w:val="00256818"/>
    <w:rsid w:val="0025738C"/>
    <w:rsid w:val="002615EC"/>
    <w:rsid w:val="00261621"/>
    <w:rsid w:val="0026376D"/>
    <w:rsid w:val="002641B7"/>
    <w:rsid w:val="0026574C"/>
    <w:rsid w:val="00272D8D"/>
    <w:rsid w:val="00273239"/>
    <w:rsid w:val="0027530D"/>
    <w:rsid w:val="002843F4"/>
    <w:rsid w:val="00286695"/>
    <w:rsid w:val="00293FC0"/>
    <w:rsid w:val="0029652D"/>
    <w:rsid w:val="002A124B"/>
    <w:rsid w:val="002A46FD"/>
    <w:rsid w:val="002B19B2"/>
    <w:rsid w:val="002B1ACD"/>
    <w:rsid w:val="002B58D5"/>
    <w:rsid w:val="002C106D"/>
    <w:rsid w:val="002C1FD5"/>
    <w:rsid w:val="002C3057"/>
    <w:rsid w:val="002D0414"/>
    <w:rsid w:val="002D166A"/>
    <w:rsid w:val="002F243D"/>
    <w:rsid w:val="002F27B9"/>
    <w:rsid w:val="003042DF"/>
    <w:rsid w:val="00306C35"/>
    <w:rsid w:val="00307B3E"/>
    <w:rsid w:val="003129AA"/>
    <w:rsid w:val="00333CF9"/>
    <w:rsid w:val="0033434B"/>
    <w:rsid w:val="0033478F"/>
    <w:rsid w:val="00334F9F"/>
    <w:rsid w:val="003476D4"/>
    <w:rsid w:val="003508DD"/>
    <w:rsid w:val="0035147F"/>
    <w:rsid w:val="00353F44"/>
    <w:rsid w:val="0035458A"/>
    <w:rsid w:val="00363A71"/>
    <w:rsid w:val="00364C4C"/>
    <w:rsid w:val="00364F2B"/>
    <w:rsid w:val="00366291"/>
    <w:rsid w:val="00381601"/>
    <w:rsid w:val="00386D02"/>
    <w:rsid w:val="003916F9"/>
    <w:rsid w:val="003A0F6D"/>
    <w:rsid w:val="003B0FC4"/>
    <w:rsid w:val="003C06F2"/>
    <w:rsid w:val="003C6317"/>
    <w:rsid w:val="003C76BE"/>
    <w:rsid w:val="003D4B92"/>
    <w:rsid w:val="003F2251"/>
    <w:rsid w:val="003F59A7"/>
    <w:rsid w:val="003F69F4"/>
    <w:rsid w:val="00400F03"/>
    <w:rsid w:val="0040241A"/>
    <w:rsid w:val="00406C7D"/>
    <w:rsid w:val="00410933"/>
    <w:rsid w:val="004141D6"/>
    <w:rsid w:val="00420320"/>
    <w:rsid w:val="00431A63"/>
    <w:rsid w:val="00435A48"/>
    <w:rsid w:val="0045150F"/>
    <w:rsid w:val="00451FCE"/>
    <w:rsid w:val="00455397"/>
    <w:rsid w:val="00461DE2"/>
    <w:rsid w:val="004738BA"/>
    <w:rsid w:val="004916D8"/>
    <w:rsid w:val="00497A5D"/>
    <w:rsid w:val="004A7EC1"/>
    <w:rsid w:val="004B258F"/>
    <w:rsid w:val="004B2DF5"/>
    <w:rsid w:val="004B4F5C"/>
    <w:rsid w:val="004B5AA3"/>
    <w:rsid w:val="004C733E"/>
    <w:rsid w:val="004D1ED1"/>
    <w:rsid w:val="004D447A"/>
    <w:rsid w:val="004E0E73"/>
    <w:rsid w:val="004E18EF"/>
    <w:rsid w:val="004E32BC"/>
    <w:rsid w:val="004E48DD"/>
    <w:rsid w:val="004E6078"/>
    <w:rsid w:val="004F1A32"/>
    <w:rsid w:val="00502420"/>
    <w:rsid w:val="005042ED"/>
    <w:rsid w:val="00514B5E"/>
    <w:rsid w:val="00516EDA"/>
    <w:rsid w:val="005274FA"/>
    <w:rsid w:val="00544D90"/>
    <w:rsid w:val="00547923"/>
    <w:rsid w:val="00550DF6"/>
    <w:rsid w:val="005579E5"/>
    <w:rsid w:val="00576690"/>
    <w:rsid w:val="0058204A"/>
    <w:rsid w:val="00583941"/>
    <w:rsid w:val="00586E5C"/>
    <w:rsid w:val="005D13CF"/>
    <w:rsid w:val="005D3D68"/>
    <w:rsid w:val="00604CF9"/>
    <w:rsid w:val="00606304"/>
    <w:rsid w:val="00611C6F"/>
    <w:rsid w:val="00614A9D"/>
    <w:rsid w:val="006223CC"/>
    <w:rsid w:val="00622739"/>
    <w:rsid w:val="00630482"/>
    <w:rsid w:val="006316BF"/>
    <w:rsid w:val="006328DA"/>
    <w:rsid w:val="006344D4"/>
    <w:rsid w:val="006362CF"/>
    <w:rsid w:val="00643016"/>
    <w:rsid w:val="0064706A"/>
    <w:rsid w:val="006477FD"/>
    <w:rsid w:val="00650C08"/>
    <w:rsid w:val="00652858"/>
    <w:rsid w:val="00671A52"/>
    <w:rsid w:val="006737C1"/>
    <w:rsid w:val="00680CA8"/>
    <w:rsid w:val="00680D03"/>
    <w:rsid w:val="00690FFF"/>
    <w:rsid w:val="00693C95"/>
    <w:rsid w:val="006A5933"/>
    <w:rsid w:val="006B044E"/>
    <w:rsid w:val="006B04E6"/>
    <w:rsid w:val="006C7F5A"/>
    <w:rsid w:val="006D6165"/>
    <w:rsid w:val="006E165A"/>
    <w:rsid w:val="006E1F24"/>
    <w:rsid w:val="006F1F93"/>
    <w:rsid w:val="006F6E99"/>
    <w:rsid w:val="007031FA"/>
    <w:rsid w:val="0071039D"/>
    <w:rsid w:val="007122D6"/>
    <w:rsid w:val="00713078"/>
    <w:rsid w:val="00715D05"/>
    <w:rsid w:val="00721E82"/>
    <w:rsid w:val="007373A2"/>
    <w:rsid w:val="00741E3B"/>
    <w:rsid w:val="007442FC"/>
    <w:rsid w:val="007534F0"/>
    <w:rsid w:val="007536E3"/>
    <w:rsid w:val="00755F03"/>
    <w:rsid w:val="00757529"/>
    <w:rsid w:val="0076114A"/>
    <w:rsid w:val="00770DAF"/>
    <w:rsid w:val="007804EE"/>
    <w:rsid w:val="007831FD"/>
    <w:rsid w:val="00784090"/>
    <w:rsid w:val="007B09E3"/>
    <w:rsid w:val="007B1A12"/>
    <w:rsid w:val="007D148D"/>
    <w:rsid w:val="007D36A0"/>
    <w:rsid w:val="007D4CE5"/>
    <w:rsid w:val="007D65AB"/>
    <w:rsid w:val="00801A7F"/>
    <w:rsid w:val="00803837"/>
    <w:rsid w:val="00803D60"/>
    <w:rsid w:val="008064D8"/>
    <w:rsid w:val="00815C05"/>
    <w:rsid w:val="00821708"/>
    <w:rsid w:val="008227C0"/>
    <w:rsid w:val="0082628A"/>
    <w:rsid w:val="00827F92"/>
    <w:rsid w:val="008342DA"/>
    <w:rsid w:val="00834F51"/>
    <w:rsid w:val="00841B1C"/>
    <w:rsid w:val="00843471"/>
    <w:rsid w:val="00844025"/>
    <w:rsid w:val="00851202"/>
    <w:rsid w:val="0085222D"/>
    <w:rsid w:val="00861C5B"/>
    <w:rsid w:val="00865AE6"/>
    <w:rsid w:val="00877911"/>
    <w:rsid w:val="00880012"/>
    <w:rsid w:val="00885E88"/>
    <w:rsid w:val="00890027"/>
    <w:rsid w:val="008933FD"/>
    <w:rsid w:val="00896A78"/>
    <w:rsid w:val="008971B3"/>
    <w:rsid w:val="008A3055"/>
    <w:rsid w:val="008A412C"/>
    <w:rsid w:val="008A53A2"/>
    <w:rsid w:val="008A7C40"/>
    <w:rsid w:val="008B7615"/>
    <w:rsid w:val="008C1AF4"/>
    <w:rsid w:val="008C2B5B"/>
    <w:rsid w:val="008C63F9"/>
    <w:rsid w:val="008D3C7E"/>
    <w:rsid w:val="008D4367"/>
    <w:rsid w:val="008D4BFA"/>
    <w:rsid w:val="008F13F9"/>
    <w:rsid w:val="008F490D"/>
    <w:rsid w:val="00912DDB"/>
    <w:rsid w:val="00920509"/>
    <w:rsid w:val="009210E7"/>
    <w:rsid w:val="009227E0"/>
    <w:rsid w:val="0093733E"/>
    <w:rsid w:val="00937633"/>
    <w:rsid w:val="00945A8F"/>
    <w:rsid w:val="009475BD"/>
    <w:rsid w:val="00960B85"/>
    <w:rsid w:val="00972313"/>
    <w:rsid w:val="00974552"/>
    <w:rsid w:val="009767BF"/>
    <w:rsid w:val="00977CDF"/>
    <w:rsid w:val="009800E1"/>
    <w:rsid w:val="00980A70"/>
    <w:rsid w:val="009829FF"/>
    <w:rsid w:val="009871D2"/>
    <w:rsid w:val="00996819"/>
    <w:rsid w:val="009A001A"/>
    <w:rsid w:val="009A1127"/>
    <w:rsid w:val="009A4EC8"/>
    <w:rsid w:val="009B02DA"/>
    <w:rsid w:val="009B156E"/>
    <w:rsid w:val="009B28DE"/>
    <w:rsid w:val="009B5097"/>
    <w:rsid w:val="009B5D04"/>
    <w:rsid w:val="009C39B7"/>
    <w:rsid w:val="009D2DC7"/>
    <w:rsid w:val="009D404F"/>
    <w:rsid w:val="009D6CD6"/>
    <w:rsid w:val="009E732F"/>
    <w:rsid w:val="009E78CA"/>
    <w:rsid w:val="009F212F"/>
    <w:rsid w:val="009F5B77"/>
    <w:rsid w:val="00A11815"/>
    <w:rsid w:val="00A156B6"/>
    <w:rsid w:val="00A229F9"/>
    <w:rsid w:val="00A27BE2"/>
    <w:rsid w:val="00A323FD"/>
    <w:rsid w:val="00A337F6"/>
    <w:rsid w:val="00A5073D"/>
    <w:rsid w:val="00A54896"/>
    <w:rsid w:val="00A55467"/>
    <w:rsid w:val="00A610AC"/>
    <w:rsid w:val="00A61DC2"/>
    <w:rsid w:val="00A67347"/>
    <w:rsid w:val="00A71CD7"/>
    <w:rsid w:val="00A83CC4"/>
    <w:rsid w:val="00A8478A"/>
    <w:rsid w:val="00A94990"/>
    <w:rsid w:val="00AA0CAF"/>
    <w:rsid w:val="00AC5811"/>
    <w:rsid w:val="00AC682B"/>
    <w:rsid w:val="00AD63AC"/>
    <w:rsid w:val="00AE0093"/>
    <w:rsid w:val="00AF154D"/>
    <w:rsid w:val="00AF68A6"/>
    <w:rsid w:val="00B0319E"/>
    <w:rsid w:val="00B047A9"/>
    <w:rsid w:val="00B0710E"/>
    <w:rsid w:val="00B17434"/>
    <w:rsid w:val="00B24466"/>
    <w:rsid w:val="00B406A6"/>
    <w:rsid w:val="00B45F27"/>
    <w:rsid w:val="00B4694E"/>
    <w:rsid w:val="00B57BDF"/>
    <w:rsid w:val="00B611EE"/>
    <w:rsid w:val="00B754CE"/>
    <w:rsid w:val="00B76B8C"/>
    <w:rsid w:val="00B90E0C"/>
    <w:rsid w:val="00B92F2D"/>
    <w:rsid w:val="00B96E14"/>
    <w:rsid w:val="00B978B0"/>
    <w:rsid w:val="00BA09BA"/>
    <w:rsid w:val="00BA7663"/>
    <w:rsid w:val="00BB7DA7"/>
    <w:rsid w:val="00BC55B4"/>
    <w:rsid w:val="00BC7267"/>
    <w:rsid w:val="00BD5684"/>
    <w:rsid w:val="00BD5C1C"/>
    <w:rsid w:val="00BE7814"/>
    <w:rsid w:val="00BF0405"/>
    <w:rsid w:val="00BF11C6"/>
    <w:rsid w:val="00BF4CEE"/>
    <w:rsid w:val="00C00460"/>
    <w:rsid w:val="00C045EE"/>
    <w:rsid w:val="00C05A05"/>
    <w:rsid w:val="00C177C4"/>
    <w:rsid w:val="00C22CEC"/>
    <w:rsid w:val="00C22F2D"/>
    <w:rsid w:val="00C22F77"/>
    <w:rsid w:val="00C37C23"/>
    <w:rsid w:val="00C42BC8"/>
    <w:rsid w:val="00C5302F"/>
    <w:rsid w:val="00C557AA"/>
    <w:rsid w:val="00C63396"/>
    <w:rsid w:val="00C65039"/>
    <w:rsid w:val="00C668B0"/>
    <w:rsid w:val="00C71011"/>
    <w:rsid w:val="00C726E9"/>
    <w:rsid w:val="00C74B59"/>
    <w:rsid w:val="00C7791F"/>
    <w:rsid w:val="00C82372"/>
    <w:rsid w:val="00C84E2E"/>
    <w:rsid w:val="00C9221B"/>
    <w:rsid w:val="00CA43A6"/>
    <w:rsid w:val="00CA5304"/>
    <w:rsid w:val="00CB436C"/>
    <w:rsid w:val="00CC6F28"/>
    <w:rsid w:val="00CD0C2F"/>
    <w:rsid w:val="00CD4ACA"/>
    <w:rsid w:val="00CE1CDD"/>
    <w:rsid w:val="00CE7803"/>
    <w:rsid w:val="00CF3583"/>
    <w:rsid w:val="00D01260"/>
    <w:rsid w:val="00D015AE"/>
    <w:rsid w:val="00D01814"/>
    <w:rsid w:val="00D0771E"/>
    <w:rsid w:val="00D1191F"/>
    <w:rsid w:val="00D12BCB"/>
    <w:rsid w:val="00D13077"/>
    <w:rsid w:val="00D15CF3"/>
    <w:rsid w:val="00D2141F"/>
    <w:rsid w:val="00D21575"/>
    <w:rsid w:val="00D321CA"/>
    <w:rsid w:val="00D3401A"/>
    <w:rsid w:val="00D4676B"/>
    <w:rsid w:val="00D50D08"/>
    <w:rsid w:val="00D57B4D"/>
    <w:rsid w:val="00D61DDF"/>
    <w:rsid w:val="00D62185"/>
    <w:rsid w:val="00D63324"/>
    <w:rsid w:val="00D71B87"/>
    <w:rsid w:val="00D73F8B"/>
    <w:rsid w:val="00D84E33"/>
    <w:rsid w:val="00D906B2"/>
    <w:rsid w:val="00DA0175"/>
    <w:rsid w:val="00DA2A3D"/>
    <w:rsid w:val="00DB40B6"/>
    <w:rsid w:val="00DC1F8D"/>
    <w:rsid w:val="00DC373F"/>
    <w:rsid w:val="00DC6502"/>
    <w:rsid w:val="00DD1B5A"/>
    <w:rsid w:val="00DE4333"/>
    <w:rsid w:val="00DE62F2"/>
    <w:rsid w:val="00E11587"/>
    <w:rsid w:val="00E14B1E"/>
    <w:rsid w:val="00E20FB2"/>
    <w:rsid w:val="00E257AF"/>
    <w:rsid w:val="00E2629A"/>
    <w:rsid w:val="00E27FA8"/>
    <w:rsid w:val="00E32F66"/>
    <w:rsid w:val="00E60465"/>
    <w:rsid w:val="00E61218"/>
    <w:rsid w:val="00E71CA7"/>
    <w:rsid w:val="00E91F1D"/>
    <w:rsid w:val="00E9432A"/>
    <w:rsid w:val="00E94F23"/>
    <w:rsid w:val="00EA5921"/>
    <w:rsid w:val="00EB4E90"/>
    <w:rsid w:val="00EC0D19"/>
    <w:rsid w:val="00EC2029"/>
    <w:rsid w:val="00EC44F3"/>
    <w:rsid w:val="00EC6BD6"/>
    <w:rsid w:val="00ED3981"/>
    <w:rsid w:val="00ED4E8D"/>
    <w:rsid w:val="00ED6BEE"/>
    <w:rsid w:val="00ED7157"/>
    <w:rsid w:val="00EE2428"/>
    <w:rsid w:val="00EE5532"/>
    <w:rsid w:val="00EF1E22"/>
    <w:rsid w:val="00EF6ABF"/>
    <w:rsid w:val="00F10198"/>
    <w:rsid w:val="00F2000E"/>
    <w:rsid w:val="00F26F31"/>
    <w:rsid w:val="00F427B6"/>
    <w:rsid w:val="00F56803"/>
    <w:rsid w:val="00F63A87"/>
    <w:rsid w:val="00F67A84"/>
    <w:rsid w:val="00F701F3"/>
    <w:rsid w:val="00F83C72"/>
    <w:rsid w:val="00F91BF4"/>
    <w:rsid w:val="00FA4EF9"/>
    <w:rsid w:val="00FA6DD0"/>
    <w:rsid w:val="00FB0B7E"/>
    <w:rsid w:val="00FB2420"/>
    <w:rsid w:val="00FB4938"/>
    <w:rsid w:val="00FB7A00"/>
    <w:rsid w:val="00FC0476"/>
    <w:rsid w:val="00FC316E"/>
    <w:rsid w:val="00FC5CDC"/>
    <w:rsid w:val="00FC7537"/>
    <w:rsid w:val="00FD5689"/>
    <w:rsid w:val="00FE3324"/>
    <w:rsid w:val="00FF5C6A"/>
    <w:rsid w:val="00FF69D5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EF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1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00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00A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A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0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5D13C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9221B"/>
    <w:pPr>
      <w:ind w:left="720"/>
      <w:contextualSpacing/>
    </w:pPr>
  </w:style>
  <w:style w:type="character" w:customStyle="1" w:styleId="spelle">
    <w:name w:val="spelle"/>
    <w:basedOn w:val="DefaultParagraphFont"/>
    <w:uiPriority w:val="99"/>
    <w:rsid w:val="00070768"/>
    <w:rPr>
      <w:rFonts w:cs="Times New Roman"/>
    </w:rPr>
  </w:style>
  <w:style w:type="paragraph" w:styleId="NormalWeb">
    <w:name w:val="Normal (Web)"/>
    <w:basedOn w:val="Normal"/>
    <w:uiPriority w:val="99"/>
    <w:rsid w:val="00F7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9210E7"/>
  </w:style>
  <w:style w:type="paragraph" w:styleId="PlainText">
    <w:name w:val="Plain Text"/>
    <w:basedOn w:val="Normal"/>
    <w:link w:val="PlainTextChar"/>
    <w:uiPriority w:val="99"/>
    <w:rsid w:val="000F47B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F47B8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5466</Words>
  <Characters>3117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User</dc:creator>
  <cp:keywords/>
  <dc:description/>
  <cp:lastModifiedBy>User</cp:lastModifiedBy>
  <cp:revision>2</cp:revision>
  <cp:lastPrinted>2017-11-02T09:11:00Z</cp:lastPrinted>
  <dcterms:created xsi:type="dcterms:W3CDTF">2019-09-19T14:48:00Z</dcterms:created>
  <dcterms:modified xsi:type="dcterms:W3CDTF">2019-09-19T14:48:00Z</dcterms:modified>
</cp:coreProperties>
</file>