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2B" w:rsidRDefault="0026376D" w:rsidP="005D3D68">
      <w:pPr>
        <w:shd w:val="clear" w:color="auto" w:fill="FFFFFF"/>
        <w:spacing w:after="0" w:line="240" w:lineRule="auto"/>
        <w:ind w:firstLine="9923"/>
        <w:rPr>
          <w:rFonts w:ascii="Times New Roman" w:eastAsia="Times New Roman" w:hAnsi="Times New Roman"/>
          <w:sz w:val="28"/>
          <w:szCs w:val="24"/>
          <w:lang w:val="uk-UA" w:eastAsia="ru-RU"/>
        </w:rPr>
      </w:pPr>
      <w:bookmarkStart w:id="0" w:name="_GoBack"/>
      <w:bookmarkEnd w:id="0"/>
      <w:r>
        <w:rPr>
          <w:rFonts w:ascii="Times New Roman" w:eastAsia="Times New Roman" w:hAnsi="Times New Roman"/>
          <w:sz w:val="28"/>
          <w:szCs w:val="24"/>
          <w:lang w:val="uk-UA" w:eastAsia="ru-RU"/>
        </w:rPr>
        <w:t xml:space="preserve">                                                </w:t>
      </w:r>
    </w:p>
    <w:p w:rsidR="005D3D68" w:rsidRPr="0026376D" w:rsidRDefault="005D3D68" w:rsidP="00364F2B">
      <w:pPr>
        <w:shd w:val="clear" w:color="auto" w:fill="FFFFFF"/>
        <w:spacing w:after="0" w:line="240" w:lineRule="auto"/>
        <w:ind w:firstLine="9923"/>
        <w:jc w:val="right"/>
        <w:rPr>
          <w:rFonts w:ascii="Times New Roman" w:eastAsia="Times New Roman" w:hAnsi="Times New Roman"/>
          <w:b/>
          <w:sz w:val="28"/>
          <w:szCs w:val="24"/>
          <w:lang w:val="uk-UA" w:eastAsia="ru-RU"/>
        </w:rPr>
      </w:pPr>
      <w:r w:rsidRPr="0026376D">
        <w:rPr>
          <w:rFonts w:ascii="Times New Roman" w:eastAsia="Times New Roman" w:hAnsi="Times New Roman"/>
          <w:b/>
          <w:sz w:val="28"/>
          <w:szCs w:val="24"/>
          <w:lang w:val="uk-UA" w:eastAsia="ru-RU"/>
        </w:rPr>
        <w:t xml:space="preserve">Додаток 1 </w:t>
      </w:r>
    </w:p>
    <w:p w:rsidR="0026376D" w:rsidRDefault="0026376D" w:rsidP="008C63F9">
      <w:pPr>
        <w:shd w:val="clear" w:color="auto" w:fill="FFFFFF"/>
        <w:spacing w:after="0" w:line="240" w:lineRule="auto"/>
        <w:ind w:left="9912" w:firstLine="11"/>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005D3D68" w:rsidRPr="00D63324">
        <w:rPr>
          <w:rFonts w:ascii="Times New Roman" w:eastAsia="Times New Roman" w:hAnsi="Times New Roman"/>
          <w:sz w:val="28"/>
          <w:szCs w:val="24"/>
          <w:lang w:val="uk-UA" w:eastAsia="ru-RU"/>
        </w:rPr>
        <w:t>до Звіту з</w:t>
      </w:r>
      <w:r w:rsidR="008C63F9">
        <w:rPr>
          <w:rFonts w:ascii="Times New Roman" w:eastAsia="Times New Roman" w:hAnsi="Times New Roman"/>
          <w:sz w:val="28"/>
          <w:szCs w:val="24"/>
          <w:lang w:val="uk-UA" w:eastAsia="ru-RU"/>
        </w:rPr>
        <w:t xml:space="preserve">а результатами </w:t>
      </w:r>
      <w:r w:rsidR="005D3D68" w:rsidRPr="00D63324">
        <w:rPr>
          <w:rFonts w:ascii="Times New Roman" w:eastAsia="Times New Roman" w:hAnsi="Times New Roman"/>
          <w:sz w:val="28"/>
          <w:szCs w:val="24"/>
          <w:lang w:val="uk-UA" w:eastAsia="ru-RU"/>
        </w:rPr>
        <w:t xml:space="preserve">оцінки </w:t>
      </w:r>
      <w:r>
        <w:rPr>
          <w:rFonts w:ascii="Times New Roman" w:eastAsia="Times New Roman" w:hAnsi="Times New Roman"/>
          <w:sz w:val="28"/>
          <w:szCs w:val="24"/>
          <w:lang w:val="uk-UA" w:eastAsia="ru-RU"/>
        </w:rPr>
        <w:t xml:space="preserve"> </w:t>
      </w:r>
    </w:p>
    <w:p w:rsidR="008C63F9" w:rsidRDefault="0026376D" w:rsidP="008C63F9">
      <w:pPr>
        <w:shd w:val="clear" w:color="auto" w:fill="FFFFFF"/>
        <w:spacing w:after="0" w:line="240" w:lineRule="auto"/>
        <w:ind w:left="9912" w:firstLine="11"/>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005D3D68" w:rsidRPr="00D63324">
        <w:rPr>
          <w:rFonts w:ascii="Times New Roman" w:eastAsia="Times New Roman" w:hAnsi="Times New Roman"/>
          <w:sz w:val="28"/>
          <w:szCs w:val="24"/>
          <w:lang w:val="uk-UA" w:eastAsia="ru-RU"/>
        </w:rPr>
        <w:t xml:space="preserve">корупційних ризиків у діяльності </w:t>
      </w:r>
    </w:p>
    <w:p w:rsidR="008C63F9" w:rsidRDefault="0026376D" w:rsidP="008C63F9">
      <w:pPr>
        <w:shd w:val="clear" w:color="auto" w:fill="FFFFFF"/>
        <w:spacing w:after="0" w:line="240" w:lineRule="auto"/>
        <w:ind w:left="9912" w:firstLine="11"/>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00ED4E8D">
        <w:rPr>
          <w:rFonts w:ascii="Times New Roman" w:eastAsia="Times New Roman" w:hAnsi="Times New Roman"/>
          <w:sz w:val="28"/>
          <w:szCs w:val="24"/>
          <w:lang w:val="uk-UA" w:eastAsia="ru-RU"/>
        </w:rPr>
        <w:t>Держкомтелерадіо</w:t>
      </w:r>
      <w:r w:rsidR="005D3D68" w:rsidRPr="00D63324">
        <w:rPr>
          <w:rFonts w:ascii="Times New Roman" w:eastAsia="Times New Roman" w:hAnsi="Times New Roman"/>
          <w:sz w:val="28"/>
          <w:szCs w:val="24"/>
          <w:lang w:val="uk-UA" w:eastAsia="ru-RU"/>
        </w:rPr>
        <w:t xml:space="preserve"> </w:t>
      </w:r>
    </w:p>
    <w:p w:rsidR="0026376D" w:rsidRPr="00D63324" w:rsidRDefault="0026376D" w:rsidP="008C63F9">
      <w:pPr>
        <w:shd w:val="clear" w:color="auto" w:fill="FFFFFF"/>
        <w:spacing w:after="0" w:line="240" w:lineRule="auto"/>
        <w:ind w:left="9912" w:firstLine="11"/>
        <w:rPr>
          <w:rFonts w:ascii="Times New Roman" w:eastAsia="Times New Roman" w:hAnsi="Times New Roman"/>
          <w:sz w:val="28"/>
          <w:szCs w:val="24"/>
          <w:lang w:val="uk-UA" w:eastAsia="ru-RU"/>
        </w:rPr>
      </w:pPr>
    </w:p>
    <w:p w:rsidR="00364F2B" w:rsidRDefault="00364F2B" w:rsidP="005D3D68">
      <w:pPr>
        <w:spacing w:after="0"/>
        <w:jc w:val="center"/>
        <w:rPr>
          <w:rFonts w:ascii="Times New Roman" w:hAnsi="Times New Roman" w:cs="Times New Roman"/>
          <w:b/>
          <w:sz w:val="28"/>
          <w:lang w:val="uk-UA"/>
        </w:rPr>
      </w:pPr>
      <w:r>
        <w:rPr>
          <w:rFonts w:ascii="Times New Roman" w:eastAsia="Times New Roman" w:hAnsi="Times New Roman"/>
          <w:b/>
          <w:sz w:val="28"/>
          <w:szCs w:val="24"/>
          <w:lang w:val="uk-UA" w:eastAsia="ru-RU"/>
        </w:rPr>
        <w:t xml:space="preserve">Опис </w:t>
      </w:r>
      <w:r w:rsidR="005D3D68" w:rsidRPr="004E48DD">
        <w:rPr>
          <w:rFonts w:ascii="Times New Roman" w:eastAsia="Times New Roman" w:hAnsi="Times New Roman"/>
          <w:b/>
          <w:sz w:val="28"/>
          <w:szCs w:val="24"/>
          <w:lang w:val="uk-UA" w:eastAsia="ru-RU"/>
        </w:rPr>
        <w:t>і</w:t>
      </w:r>
      <w:r w:rsidR="0045150F" w:rsidRPr="004E48DD">
        <w:rPr>
          <w:rFonts w:ascii="Times New Roman" w:hAnsi="Times New Roman" w:cs="Times New Roman"/>
          <w:b/>
          <w:sz w:val="28"/>
          <w:lang w:val="uk-UA"/>
        </w:rPr>
        <w:t>дентифікован</w:t>
      </w:r>
      <w:r w:rsidR="005D3D68" w:rsidRPr="004E48DD">
        <w:rPr>
          <w:rFonts w:ascii="Times New Roman" w:hAnsi="Times New Roman" w:cs="Times New Roman"/>
          <w:b/>
          <w:sz w:val="28"/>
          <w:lang w:val="uk-UA"/>
        </w:rPr>
        <w:t>их</w:t>
      </w:r>
      <w:r w:rsidR="0045150F" w:rsidRPr="004E48DD">
        <w:rPr>
          <w:rFonts w:ascii="Times New Roman" w:hAnsi="Times New Roman" w:cs="Times New Roman"/>
          <w:b/>
          <w:sz w:val="28"/>
          <w:lang w:val="uk-UA"/>
        </w:rPr>
        <w:t xml:space="preserve"> корупційн</w:t>
      </w:r>
      <w:r w:rsidR="005D3D68" w:rsidRPr="004E48DD">
        <w:rPr>
          <w:rFonts w:ascii="Times New Roman" w:hAnsi="Times New Roman" w:cs="Times New Roman"/>
          <w:b/>
          <w:sz w:val="28"/>
          <w:lang w:val="uk-UA"/>
        </w:rPr>
        <w:t xml:space="preserve">их ризиків у діяльності </w:t>
      </w:r>
      <w:r w:rsidR="00ED4E8D">
        <w:rPr>
          <w:rFonts w:ascii="Times New Roman" w:hAnsi="Times New Roman" w:cs="Times New Roman"/>
          <w:b/>
          <w:sz w:val="28"/>
          <w:lang w:val="uk-UA"/>
        </w:rPr>
        <w:t>Держ</w:t>
      </w:r>
      <w:r>
        <w:rPr>
          <w:rFonts w:ascii="Times New Roman" w:hAnsi="Times New Roman" w:cs="Times New Roman"/>
          <w:b/>
          <w:sz w:val="28"/>
          <w:lang w:val="uk-UA"/>
        </w:rPr>
        <w:t>комтелерадіо</w:t>
      </w:r>
      <w:r w:rsidR="0045150F" w:rsidRPr="004E48DD">
        <w:rPr>
          <w:rFonts w:ascii="Times New Roman" w:hAnsi="Times New Roman" w:cs="Times New Roman"/>
          <w:b/>
          <w:sz w:val="28"/>
          <w:lang w:val="uk-UA"/>
        </w:rPr>
        <w:t>,</w:t>
      </w:r>
      <w:r>
        <w:rPr>
          <w:rFonts w:ascii="Times New Roman" w:hAnsi="Times New Roman" w:cs="Times New Roman"/>
          <w:b/>
          <w:sz w:val="28"/>
          <w:lang w:val="uk-UA"/>
        </w:rPr>
        <w:t xml:space="preserve"> </w:t>
      </w:r>
    </w:p>
    <w:p w:rsidR="0045150F" w:rsidRPr="004E48DD" w:rsidRDefault="0045150F" w:rsidP="005D3D68">
      <w:pPr>
        <w:spacing w:after="0"/>
        <w:jc w:val="center"/>
        <w:rPr>
          <w:rFonts w:ascii="Times New Roman" w:hAnsi="Times New Roman" w:cs="Times New Roman"/>
          <w:b/>
          <w:sz w:val="28"/>
          <w:lang w:val="uk-UA"/>
        </w:rPr>
      </w:pPr>
      <w:r w:rsidRPr="004E48DD">
        <w:rPr>
          <w:rFonts w:ascii="Times New Roman" w:hAnsi="Times New Roman" w:cs="Times New Roman"/>
          <w:b/>
          <w:sz w:val="28"/>
          <w:lang w:val="uk-UA"/>
        </w:rPr>
        <w:t xml:space="preserve">чинники корупційних ризиків та можливі наслідки корупційного правопорушення </w:t>
      </w:r>
      <w:r w:rsidR="005D3D68" w:rsidRPr="004E48DD">
        <w:rPr>
          <w:rFonts w:ascii="Times New Roman" w:hAnsi="Times New Roman" w:cs="Times New Roman"/>
          <w:b/>
          <w:sz w:val="28"/>
          <w:lang w:val="uk-UA"/>
        </w:rPr>
        <w:t xml:space="preserve">чи правопорушення, </w:t>
      </w:r>
      <w:r w:rsidRPr="004E48DD">
        <w:rPr>
          <w:rFonts w:ascii="Times New Roman" w:hAnsi="Times New Roman" w:cs="Times New Roman"/>
          <w:b/>
          <w:sz w:val="28"/>
          <w:lang w:val="uk-UA"/>
        </w:rPr>
        <w:t>пов’язаного з корупцією</w:t>
      </w:r>
    </w:p>
    <w:p w:rsidR="00F26F31" w:rsidRPr="00D63324" w:rsidRDefault="00F26F31" w:rsidP="005D3D68">
      <w:pPr>
        <w:spacing w:after="0"/>
        <w:jc w:val="center"/>
        <w:rPr>
          <w:rFonts w:ascii="Times New Roman" w:hAnsi="Times New Roman" w:cs="Times New Roman"/>
          <w:sz w:val="28"/>
          <w:lang w:val="uk-UA"/>
        </w:rPr>
      </w:pPr>
    </w:p>
    <w:tbl>
      <w:tblPr>
        <w:tblStyle w:val="a3"/>
        <w:tblW w:w="15876" w:type="dxa"/>
        <w:tblInd w:w="-459" w:type="dxa"/>
        <w:tblLayout w:type="fixed"/>
        <w:tblLook w:val="04A0" w:firstRow="1" w:lastRow="0" w:firstColumn="1" w:lastColumn="0" w:noHBand="0" w:noVBand="1"/>
      </w:tblPr>
      <w:tblGrid>
        <w:gridCol w:w="2835"/>
        <w:gridCol w:w="3828"/>
        <w:gridCol w:w="4110"/>
        <w:gridCol w:w="5103"/>
      </w:tblGrid>
      <w:tr w:rsidR="00070768" w:rsidRPr="00DC373F" w:rsidTr="0026376D">
        <w:tc>
          <w:tcPr>
            <w:tcW w:w="2835" w:type="dxa"/>
            <w:vAlign w:val="center"/>
          </w:tcPr>
          <w:p w:rsidR="00435A48" w:rsidRPr="00DC373F" w:rsidRDefault="00EE2428" w:rsidP="00DA0175">
            <w:pPr>
              <w:tabs>
                <w:tab w:val="left" w:pos="2638"/>
              </w:tabs>
              <w:jc w:val="center"/>
              <w:rPr>
                <w:rFonts w:ascii="Times New Roman" w:hAnsi="Times New Roman" w:cs="Times New Roman"/>
                <w:b/>
                <w:sz w:val="24"/>
                <w:szCs w:val="24"/>
                <w:lang w:val="uk-UA"/>
              </w:rPr>
            </w:pPr>
            <w:r w:rsidRPr="00DC373F">
              <w:rPr>
                <w:rFonts w:ascii="Times New Roman" w:hAnsi="Times New Roman" w:cs="Times New Roman"/>
                <w:b/>
                <w:sz w:val="24"/>
                <w:szCs w:val="24"/>
                <w:lang w:val="uk-UA"/>
              </w:rPr>
              <w:t>Ідентифікований корупційний ризик</w:t>
            </w:r>
          </w:p>
        </w:tc>
        <w:tc>
          <w:tcPr>
            <w:tcW w:w="3828" w:type="dxa"/>
            <w:vAlign w:val="center"/>
          </w:tcPr>
          <w:p w:rsidR="00435A48" w:rsidRPr="00DC373F" w:rsidRDefault="00435A48" w:rsidP="00DA0175">
            <w:pPr>
              <w:tabs>
                <w:tab w:val="left" w:pos="2638"/>
              </w:tabs>
              <w:jc w:val="center"/>
              <w:rPr>
                <w:rFonts w:ascii="Times New Roman" w:hAnsi="Times New Roman" w:cs="Times New Roman"/>
                <w:b/>
                <w:sz w:val="24"/>
                <w:szCs w:val="24"/>
                <w:lang w:val="uk-UA"/>
              </w:rPr>
            </w:pPr>
            <w:r w:rsidRPr="00DC373F">
              <w:rPr>
                <w:rFonts w:ascii="Times New Roman" w:hAnsi="Times New Roman" w:cs="Times New Roman"/>
                <w:b/>
                <w:sz w:val="24"/>
                <w:szCs w:val="24"/>
                <w:lang w:val="uk-UA"/>
              </w:rPr>
              <w:t>Опис ідентифікованого корупційного ризику</w:t>
            </w:r>
          </w:p>
        </w:tc>
        <w:tc>
          <w:tcPr>
            <w:tcW w:w="4110" w:type="dxa"/>
            <w:vAlign w:val="center"/>
          </w:tcPr>
          <w:p w:rsidR="00435A48" w:rsidRPr="00DC373F" w:rsidRDefault="00435A48" w:rsidP="00DA0175">
            <w:pPr>
              <w:tabs>
                <w:tab w:val="left" w:pos="2638"/>
              </w:tabs>
              <w:jc w:val="center"/>
              <w:rPr>
                <w:rFonts w:ascii="Times New Roman" w:hAnsi="Times New Roman" w:cs="Times New Roman"/>
                <w:b/>
                <w:sz w:val="24"/>
                <w:szCs w:val="24"/>
                <w:lang w:val="uk-UA"/>
              </w:rPr>
            </w:pPr>
            <w:r w:rsidRPr="00DC373F">
              <w:rPr>
                <w:rFonts w:ascii="Times New Roman" w:hAnsi="Times New Roman" w:cs="Times New Roman"/>
                <w:b/>
                <w:sz w:val="24"/>
                <w:szCs w:val="24"/>
                <w:lang w:val="uk-UA"/>
              </w:rPr>
              <w:t>Чинники корупційного ризику</w:t>
            </w:r>
          </w:p>
        </w:tc>
        <w:tc>
          <w:tcPr>
            <w:tcW w:w="5103" w:type="dxa"/>
            <w:vAlign w:val="center"/>
          </w:tcPr>
          <w:p w:rsidR="00435A48" w:rsidRPr="00DC373F" w:rsidRDefault="00435A48" w:rsidP="00DA0175">
            <w:pPr>
              <w:tabs>
                <w:tab w:val="left" w:pos="2638"/>
              </w:tabs>
              <w:jc w:val="center"/>
              <w:rPr>
                <w:rFonts w:ascii="Times New Roman" w:hAnsi="Times New Roman" w:cs="Times New Roman"/>
                <w:b/>
                <w:sz w:val="24"/>
                <w:szCs w:val="24"/>
                <w:lang w:val="uk-UA"/>
              </w:rPr>
            </w:pPr>
            <w:r w:rsidRPr="00DC373F">
              <w:rPr>
                <w:rFonts w:ascii="Times New Roman" w:hAnsi="Times New Roman" w:cs="Times New Roman"/>
                <w:b/>
                <w:sz w:val="24"/>
                <w:szCs w:val="24"/>
                <w:lang w:val="uk-UA"/>
              </w:rPr>
              <w:t>Можливі наслідки корупційного правопорушення чи правопорушення, пов’язаного з корупцією</w:t>
            </w:r>
          </w:p>
        </w:tc>
      </w:tr>
      <w:tr w:rsidR="005D3D68" w:rsidRPr="00DC373F" w:rsidTr="0026376D">
        <w:tc>
          <w:tcPr>
            <w:tcW w:w="15876" w:type="dxa"/>
            <w:gridSpan w:val="4"/>
            <w:vAlign w:val="center"/>
          </w:tcPr>
          <w:p w:rsidR="005D3D68" w:rsidRPr="001639C2" w:rsidRDefault="004E0E73" w:rsidP="00FE3324">
            <w:pPr>
              <w:pStyle w:val="aa"/>
              <w:numPr>
                <w:ilvl w:val="0"/>
                <w:numId w:val="3"/>
              </w:numPr>
              <w:tabs>
                <w:tab w:val="left" w:pos="2638"/>
              </w:tabs>
              <w:jc w:val="center"/>
              <w:rPr>
                <w:rFonts w:ascii="Times New Roman" w:hAnsi="Times New Roman" w:cs="Times New Roman"/>
                <w:b/>
                <w:sz w:val="28"/>
                <w:szCs w:val="28"/>
                <w:lang w:val="uk-UA"/>
              </w:rPr>
            </w:pPr>
            <w:r w:rsidRPr="001639C2">
              <w:rPr>
                <w:rFonts w:ascii="Times New Roman" w:hAnsi="Times New Roman" w:cs="Times New Roman"/>
                <w:b/>
                <w:sz w:val="28"/>
                <w:szCs w:val="28"/>
                <w:lang w:val="uk-UA"/>
              </w:rPr>
              <w:t>Організаційна структура Держкомтелерадіо</w:t>
            </w:r>
          </w:p>
        </w:tc>
      </w:tr>
      <w:tr w:rsidR="00070768" w:rsidRPr="00626C5E" w:rsidTr="0026376D">
        <w:trPr>
          <w:trHeight w:val="3032"/>
        </w:trPr>
        <w:tc>
          <w:tcPr>
            <w:tcW w:w="2835" w:type="dxa"/>
            <w:vAlign w:val="center"/>
          </w:tcPr>
          <w:p w:rsidR="00364F2B" w:rsidRPr="00DC373F" w:rsidRDefault="009C39B7" w:rsidP="00B24466">
            <w:pPr>
              <w:tabs>
                <w:tab w:val="left" w:pos="2638"/>
              </w:tabs>
              <w:jc w:val="center"/>
              <w:rPr>
                <w:rFonts w:ascii="Times New Roman" w:hAnsi="Times New Roman" w:cs="Times New Roman"/>
                <w:sz w:val="24"/>
                <w:szCs w:val="24"/>
                <w:lang w:val="uk-UA" w:eastAsia="ru-RU"/>
              </w:rPr>
            </w:pPr>
            <w:r w:rsidRPr="00DC373F">
              <w:rPr>
                <w:rFonts w:ascii="Times New Roman" w:hAnsi="Times New Roman" w:cs="Times New Roman"/>
                <w:sz w:val="24"/>
                <w:szCs w:val="24"/>
                <w:lang w:val="uk-UA"/>
              </w:rPr>
              <w:t xml:space="preserve">Неврегульованість на законодавчому рівні </w:t>
            </w:r>
            <w:r>
              <w:rPr>
                <w:rFonts w:ascii="Times New Roman" w:hAnsi="Times New Roman" w:cs="Times New Roman"/>
                <w:sz w:val="24"/>
                <w:szCs w:val="24"/>
                <w:lang w:val="uk-UA"/>
              </w:rPr>
              <w:t xml:space="preserve">питань </w:t>
            </w:r>
            <w:r w:rsidR="00861C5B">
              <w:rPr>
                <w:rFonts w:ascii="Times New Roman" w:hAnsi="Times New Roman" w:cs="Times New Roman"/>
                <w:sz w:val="24"/>
                <w:szCs w:val="24"/>
                <w:lang w:val="uk-UA"/>
              </w:rPr>
              <w:t xml:space="preserve">повноважень Держкомтелерадіо, </w:t>
            </w:r>
            <w:r>
              <w:rPr>
                <w:rFonts w:ascii="Times New Roman" w:hAnsi="Times New Roman" w:cs="Times New Roman"/>
                <w:sz w:val="24"/>
                <w:szCs w:val="24"/>
                <w:lang w:val="uk-UA"/>
              </w:rPr>
              <w:t>по</w:t>
            </w:r>
            <w:r w:rsidRPr="00DC373F">
              <w:rPr>
                <w:rFonts w:ascii="Times New Roman" w:hAnsi="Times New Roman" w:cs="Times New Roman"/>
                <w:sz w:val="24"/>
                <w:szCs w:val="24"/>
                <w:lang w:val="uk-UA"/>
              </w:rPr>
              <w:t xml:space="preserve">в’язаних з координацією </w:t>
            </w:r>
            <w:r w:rsidR="00364F2B">
              <w:rPr>
                <w:rFonts w:ascii="Times New Roman" w:hAnsi="Times New Roman" w:cs="Times New Roman"/>
                <w:sz w:val="24"/>
                <w:szCs w:val="24"/>
                <w:lang w:val="uk-UA"/>
              </w:rPr>
              <w:t>в</w:t>
            </w:r>
            <w:r>
              <w:rPr>
                <w:rFonts w:ascii="Times New Roman" w:hAnsi="Times New Roman" w:cs="Times New Roman"/>
                <w:sz w:val="24"/>
                <w:szCs w:val="24"/>
                <w:lang w:val="uk-UA"/>
              </w:rPr>
              <w:t xml:space="preserve"> сфері телебачення і радіомовлення та у видавничій сфері</w:t>
            </w:r>
            <w:r w:rsidR="00D21575">
              <w:rPr>
                <w:rFonts w:ascii="Times New Roman" w:hAnsi="Times New Roman" w:cs="Times New Roman"/>
                <w:sz w:val="24"/>
                <w:szCs w:val="24"/>
                <w:lang w:val="uk-UA"/>
              </w:rPr>
              <w:t xml:space="preserve"> </w:t>
            </w:r>
          </w:p>
        </w:tc>
        <w:tc>
          <w:tcPr>
            <w:tcW w:w="3828" w:type="dxa"/>
            <w:vAlign w:val="center"/>
          </w:tcPr>
          <w:p w:rsidR="009C39B7" w:rsidRPr="00DC373F" w:rsidRDefault="009C39B7" w:rsidP="0035458A">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Відсутність чітко визначен</w:t>
            </w:r>
            <w:r>
              <w:rPr>
                <w:rFonts w:ascii="Times New Roman" w:hAnsi="Times New Roman" w:cs="Times New Roman"/>
                <w:sz w:val="24"/>
                <w:szCs w:val="24"/>
                <w:lang w:val="uk-UA"/>
              </w:rPr>
              <w:t>их меж повноважень Держкомтелерадіо</w:t>
            </w:r>
            <w:r w:rsidRPr="00DC373F">
              <w:rPr>
                <w:rFonts w:ascii="Times New Roman" w:hAnsi="Times New Roman" w:cs="Times New Roman"/>
                <w:sz w:val="24"/>
                <w:szCs w:val="24"/>
                <w:lang w:val="uk-UA"/>
              </w:rPr>
              <w:t xml:space="preserve"> </w:t>
            </w:r>
            <w:r w:rsidR="006477FD">
              <w:rPr>
                <w:rFonts w:ascii="Times New Roman" w:hAnsi="Times New Roman" w:cs="Times New Roman"/>
                <w:sz w:val="24"/>
                <w:szCs w:val="24"/>
                <w:lang w:val="uk-UA"/>
              </w:rPr>
              <w:t>у сфері телебачення і радіомовлення та у видавничій сфері</w:t>
            </w:r>
            <w:r w:rsidR="006477FD" w:rsidRPr="00DC373F">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 xml:space="preserve">надає можливість </w:t>
            </w:r>
            <w:r>
              <w:rPr>
                <w:rFonts w:ascii="Times New Roman" w:hAnsi="Times New Roman" w:cs="Times New Roman"/>
                <w:sz w:val="24"/>
                <w:szCs w:val="24"/>
                <w:lang w:val="uk-UA"/>
              </w:rPr>
              <w:t xml:space="preserve">його </w:t>
            </w:r>
            <w:r w:rsidRPr="00DC373F">
              <w:rPr>
                <w:rFonts w:ascii="Times New Roman" w:hAnsi="Times New Roman" w:cs="Times New Roman"/>
                <w:sz w:val="24"/>
                <w:szCs w:val="24"/>
                <w:lang w:val="uk-UA"/>
              </w:rPr>
              <w:t xml:space="preserve">посадовим особам здійснювати </w:t>
            </w:r>
            <w:r>
              <w:rPr>
                <w:rFonts w:ascii="Times New Roman" w:hAnsi="Times New Roman" w:cs="Times New Roman"/>
                <w:sz w:val="24"/>
                <w:szCs w:val="24"/>
                <w:lang w:val="uk-UA"/>
              </w:rPr>
              <w:t>їх</w:t>
            </w:r>
            <w:r w:rsidRPr="00DC373F">
              <w:rPr>
                <w:rFonts w:ascii="Times New Roman" w:hAnsi="Times New Roman" w:cs="Times New Roman"/>
                <w:sz w:val="24"/>
                <w:szCs w:val="24"/>
                <w:lang w:val="uk-UA"/>
              </w:rPr>
              <w:t xml:space="preserve"> на власний розсуд, що може сприяти вчиненню корупційного чи пов’язаного з корупцією правопорушення</w:t>
            </w:r>
          </w:p>
        </w:tc>
        <w:tc>
          <w:tcPr>
            <w:tcW w:w="4110" w:type="dxa"/>
            <w:vAlign w:val="center"/>
          </w:tcPr>
          <w:p w:rsidR="009C39B7" w:rsidRPr="00DC373F" w:rsidRDefault="009C39B7"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законодавчо закріплених </w:t>
            </w:r>
            <w:r w:rsidR="00BA09BA">
              <w:rPr>
                <w:rFonts w:ascii="Times New Roman" w:hAnsi="Times New Roman" w:cs="Times New Roman"/>
                <w:sz w:val="24"/>
                <w:szCs w:val="24"/>
                <w:lang w:val="uk-UA"/>
              </w:rPr>
              <w:t xml:space="preserve">чітко визначених </w:t>
            </w:r>
            <w:r w:rsidRPr="00DC373F">
              <w:rPr>
                <w:rFonts w:ascii="Times New Roman" w:hAnsi="Times New Roman" w:cs="Times New Roman"/>
                <w:sz w:val="24"/>
                <w:szCs w:val="24"/>
                <w:lang w:val="uk-UA"/>
              </w:rPr>
              <w:t xml:space="preserve">повноважень </w:t>
            </w:r>
            <w:r>
              <w:rPr>
                <w:rFonts w:ascii="Times New Roman" w:hAnsi="Times New Roman" w:cs="Times New Roman"/>
                <w:sz w:val="24"/>
                <w:szCs w:val="24"/>
                <w:lang w:val="uk-UA"/>
              </w:rPr>
              <w:t>за Держкомтелерадіо у сфері телебачення і радіомовлення та у видавничій сфері</w:t>
            </w:r>
            <w:r w:rsidRPr="00DC373F">
              <w:rPr>
                <w:rFonts w:ascii="Times New Roman" w:hAnsi="Times New Roman" w:cs="Times New Roman"/>
                <w:sz w:val="24"/>
                <w:szCs w:val="24"/>
                <w:lang w:val="uk-UA"/>
              </w:rPr>
              <w:t xml:space="preserve"> </w:t>
            </w:r>
          </w:p>
        </w:tc>
        <w:tc>
          <w:tcPr>
            <w:tcW w:w="5103" w:type="dxa"/>
            <w:vAlign w:val="center"/>
          </w:tcPr>
          <w:p w:rsidR="009C39B7" w:rsidRPr="00DC373F" w:rsidRDefault="009C39B7"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w:t>
            </w:r>
            <w:r w:rsidR="00BA09BA">
              <w:rPr>
                <w:rFonts w:ascii="Times New Roman" w:hAnsi="Times New Roman" w:cs="Times New Roman"/>
                <w:sz w:val="24"/>
                <w:szCs w:val="24"/>
                <w:lang w:val="uk-UA"/>
              </w:rPr>
              <w:t xml:space="preserve">можливі </w:t>
            </w:r>
            <w:r w:rsidRPr="00DC373F">
              <w:rPr>
                <w:rFonts w:ascii="Times New Roman" w:hAnsi="Times New Roman" w:cs="Times New Roman"/>
                <w:sz w:val="24"/>
                <w:szCs w:val="24"/>
                <w:lang w:val="uk-UA"/>
              </w:rPr>
              <w:t xml:space="preserve">судові процеси проти </w:t>
            </w:r>
            <w:r>
              <w:rPr>
                <w:rFonts w:ascii="Times New Roman" w:hAnsi="Times New Roman" w:cs="Times New Roman"/>
                <w:sz w:val="24"/>
                <w:szCs w:val="24"/>
                <w:lang w:val="uk-UA"/>
              </w:rPr>
              <w:t>Держкомтелерадіо</w:t>
            </w:r>
          </w:p>
        </w:tc>
      </w:tr>
      <w:tr w:rsidR="00070768" w:rsidRPr="00626C5E" w:rsidTr="0026376D">
        <w:tc>
          <w:tcPr>
            <w:tcW w:w="2835" w:type="dxa"/>
            <w:vAlign w:val="center"/>
          </w:tcPr>
          <w:p w:rsidR="009C39B7" w:rsidRPr="00BA09BA" w:rsidRDefault="009C39B7" w:rsidP="000F3588">
            <w:pPr>
              <w:tabs>
                <w:tab w:val="left" w:pos="2304"/>
              </w:tabs>
              <w:jc w:val="center"/>
              <w:rPr>
                <w:rFonts w:ascii="Times New Roman" w:hAnsi="Times New Roman" w:cs="Times New Roman"/>
                <w:sz w:val="24"/>
                <w:szCs w:val="24"/>
                <w:lang w:val="uk-UA"/>
              </w:rPr>
            </w:pPr>
            <w:r w:rsidRPr="00BA09BA">
              <w:rPr>
                <w:rFonts w:ascii="Times New Roman" w:hAnsi="Times New Roman"/>
                <w:sz w:val="24"/>
                <w:szCs w:val="24"/>
                <w:lang w:val="uk-UA"/>
              </w:rPr>
              <w:t>Необізнаність громадськості з діяльністю Держкомтелерадіо</w:t>
            </w:r>
          </w:p>
        </w:tc>
        <w:tc>
          <w:tcPr>
            <w:tcW w:w="3828" w:type="dxa"/>
            <w:vAlign w:val="center"/>
          </w:tcPr>
          <w:p w:rsidR="009C39B7" w:rsidRPr="00DC373F" w:rsidRDefault="009C39B7" w:rsidP="000F3588">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Відсутність порядку</w:t>
            </w:r>
            <w:r>
              <w:rPr>
                <w:rFonts w:ascii="Times New Roman" w:hAnsi="Times New Roman" w:cs="Times New Roman"/>
                <w:sz w:val="24"/>
                <w:szCs w:val="24"/>
                <w:lang w:val="uk-UA"/>
              </w:rPr>
              <w:t xml:space="preserve"> висвітлення на веб-сайті Держкомтелерадіо інформації щодо його діяльності</w:t>
            </w:r>
            <w:r w:rsidRPr="00DC373F">
              <w:rPr>
                <w:rFonts w:ascii="Times New Roman" w:hAnsi="Times New Roman" w:cs="Times New Roman"/>
                <w:sz w:val="24"/>
                <w:szCs w:val="24"/>
                <w:lang w:val="uk-UA"/>
              </w:rPr>
              <w:t xml:space="preserve"> надає можливість посадовим особам</w:t>
            </w:r>
            <w:r>
              <w:rPr>
                <w:rFonts w:ascii="Times New Roman" w:hAnsi="Times New Roman" w:cs="Times New Roman"/>
                <w:sz w:val="24"/>
                <w:szCs w:val="24"/>
                <w:lang w:val="uk-UA"/>
              </w:rPr>
              <w:t xml:space="preserve"> несвоєчасно та не в повному обсязі надавати </w:t>
            </w:r>
            <w:r w:rsidRPr="00381601">
              <w:rPr>
                <w:rFonts w:ascii="Times New Roman" w:hAnsi="Times New Roman" w:cs="Times New Roman"/>
                <w:sz w:val="24"/>
                <w:szCs w:val="24"/>
                <w:lang w:val="uk-UA"/>
              </w:rPr>
              <w:t>інформацію про діяльність</w:t>
            </w:r>
            <w:r>
              <w:rPr>
                <w:rFonts w:ascii="Times New Roman" w:hAnsi="Times New Roman" w:cs="Times New Roman"/>
                <w:sz w:val="24"/>
                <w:szCs w:val="24"/>
                <w:lang w:val="uk-UA"/>
              </w:rPr>
              <w:t xml:space="preserve"> Держкомтелерадіо для її розміщення на веб-сайті</w:t>
            </w:r>
            <w:r w:rsidRPr="00DC373F">
              <w:rPr>
                <w:rFonts w:ascii="Times New Roman" w:hAnsi="Times New Roman" w:cs="Times New Roman"/>
                <w:sz w:val="24"/>
                <w:szCs w:val="24"/>
                <w:lang w:val="uk-UA"/>
              </w:rPr>
              <w:t xml:space="preserve">, що може сприяти вчиненню корупційного </w:t>
            </w:r>
            <w:r w:rsidRPr="00DC373F">
              <w:rPr>
                <w:rFonts w:ascii="Times New Roman" w:hAnsi="Times New Roman" w:cs="Times New Roman"/>
                <w:sz w:val="24"/>
                <w:szCs w:val="24"/>
                <w:lang w:val="uk-UA"/>
              </w:rPr>
              <w:lastRenderedPageBreak/>
              <w:t>чи пов’язаного з корупцією правопорушення.</w:t>
            </w:r>
          </w:p>
          <w:p w:rsidR="009C39B7" w:rsidRPr="00DC373F" w:rsidRDefault="009C39B7" w:rsidP="00FE3324">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Неврегульованість</w:t>
            </w:r>
            <w:r w:rsidRPr="00DC373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такої </w:t>
            </w:r>
            <w:r w:rsidRPr="00DC373F">
              <w:rPr>
                <w:rFonts w:ascii="Times New Roman" w:hAnsi="Times New Roman" w:cs="Times New Roman"/>
                <w:sz w:val="24"/>
                <w:szCs w:val="24"/>
                <w:lang w:val="uk-UA"/>
              </w:rPr>
              <w:t>процедури дає можливість посадовим особам</w:t>
            </w:r>
            <w:r>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 xml:space="preserve">на власний розсуд приймати рішення щодо </w:t>
            </w:r>
            <w:r>
              <w:rPr>
                <w:rFonts w:ascii="Times New Roman" w:hAnsi="Times New Roman" w:cs="Times New Roman"/>
                <w:sz w:val="24"/>
                <w:szCs w:val="24"/>
                <w:lang w:val="uk-UA"/>
              </w:rPr>
              <w:t>надання</w:t>
            </w:r>
            <w:r w:rsidRPr="00DC373F">
              <w:rPr>
                <w:rFonts w:ascii="Times New Roman" w:hAnsi="Times New Roman" w:cs="Times New Roman"/>
                <w:sz w:val="24"/>
                <w:szCs w:val="24"/>
                <w:lang w:val="uk-UA"/>
              </w:rPr>
              <w:t>/не</w:t>
            </w:r>
            <w:r>
              <w:rPr>
                <w:rFonts w:ascii="Times New Roman" w:hAnsi="Times New Roman" w:cs="Times New Roman"/>
                <w:sz w:val="24"/>
                <w:szCs w:val="24"/>
                <w:lang w:val="uk-UA"/>
              </w:rPr>
              <w:t>надання інформації, а також її змістовного наповнення для розміщення на веб-сайті</w:t>
            </w:r>
            <w:r w:rsidRPr="00DC373F">
              <w:rPr>
                <w:rFonts w:ascii="Times New Roman" w:hAnsi="Times New Roman" w:cs="Times New Roman"/>
                <w:sz w:val="24"/>
                <w:szCs w:val="24"/>
                <w:lang w:val="uk-UA"/>
              </w:rPr>
              <w:t>, що також може сприяти вчиненню корупційного чи пов’язаного з корупцією правопорушення</w:t>
            </w:r>
          </w:p>
        </w:tc>
        <w:tc>
          <w:tcPr>
            <w:tcW w:w="4110" w:type="dxa"/>
            <w:vAlign w:val="center"/>
          </w:tcPr>
          <w:p w:rsidR="009C39B7" w:rsidRPr="00DC373F" w:rsidRDefault="009C39B7" w:rsidP="000F3588">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Відсутність порядку та п</w:t>
            </w:r>
            <w:r w:rsidRPr="00DC373F">
              <w:rPr>
                <w:rFonts w:ascii="Times New Roman" w:hAnsi="Times New Roman" w:cs="Times New Roman"/>
                <w:sz w:val="24"/>
                <w:szCs w:val="24"/>
                <w:lang w:val="uk-UA"/>
              </w:rPr>
              <w:t xml:space="preserve">роцедури </w:t>
            </w:r>
            <w:r>
              <w:rPr>
                <w:rFonts w:ascii="Times New Roman" w:hAnsi="Times New Roman" w:cs="Times New Roman"/>
                <w:sz w:val="24"/>
                <w:szCs w:val="24"/>
                <w:lang w:val="uk-UA"/>
              </w:rPr>
              <w:t>висвітлення на веб-сайті Держкомтелерадіо інформації щодо його діяльності</w:t>
            </w:r>
            <w:r w:rsidRPr="00DC373F">
              <w:rPr>
                <w:rFonts w:ascii="Times New Roman" w:hAnsi="Times New Roman" w:cs="Times New Roman"/>
                <w:sz w:val="24"/>
                <w:szCs w:val="24"/>
                <w:lang w:val="uk-UA"/>
              </w:rPr>
              <w:t xml:space="preserve"> </w:t>
            </w:r>
          </w:p>
        </w:tc>
        <w:tc>
          <w:tcPr>
            <w:tcW w:w="5103" w:type="dxa"/>
            <w:vAlign w:val="center"/>
          </w:tcPr>
          <w:p w:rsidR="009C39B7" w:rsidRPr="00DC373F" w:rsidRDefault="009C39B7"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w:t>
            </w:r>
            <w:r w:rsidR="00BA09BA">
              <w:rPr>
                <w:rFonts w:ascii="Times New Roman" w:hAnsi="Times New Roman" w:cs="Times New Roman"/>
                <w:sz w:val="24"/>
                <w:szCs w:val="24"/>
                <w:lang w:val="uk-UA"/>
              </w:rPr>
              <w:t xml:space="preserve">можливі </w:t>
            </w:r>
            <w:r w:rsidRPr="00DC373F">
              <w:rPr>
                <w:rFonts w:ascii="Times New Roman" w:hAnsi="Times New Roman" w:cs="Times New Roman"/>
                <w:sz w:val="24"/>
                <w:szCs w:val="24"/>
                <w:lang w:val="uk-UA"/>
              </w:rPr>
              <w:t xml:space="preserve">судові процеси проти </w:t>
            </w:r>
            <w:r>
              <w:rPr>
                <w:rFonts w:ascii="Times New Roman" w:hAnsi="Times New Roman" w:cs="Times New Roman"/>
                <w:sz w:val="24"/>
                <w:szCs w:val="24"/>
                <w:lang w:val="uk-UA"/>
              </w:rPr>
              <w:t>Держкомтелерадіо</w:t>
            </w:r>
          </w:p>
        </w:tc>
      </w:tr>
      <w:tr w:rsidR="00070768" w:rsidRPr="00626C5E" w:rsidTr="0026376D">
        <w:tc>
          <w:tcPr>
            <w:tcW w:w="2835" w:type="dxa"/>
            <w:vAlign w:val="center"/>
          </w:tcPr>
          <w:p w:rsidR="00381601" w:rsidRPr="00DC373F" w:rsidRDefault="00381601" w:rsidP="00FE3324">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lastRenderedPageBreak/>
              <w:t>Неврегульованість процедури від</w:t>
            </w:r>
            <w:r>
              <w:rPr>
                <w:rFonts w:ascii="Times New Roman" w:hAnsi="Times New Roman" w:cs="Times New Roman"/>
                <w:sz w:val="24"/>
                <w:szCs w:val="24"/>
                <w:lang w:val="uk-UA"/>
              </w:rPr>
              <w:t>сторонення посадової особи від підготовки дорученого документа</w:t>
            </w:r>
            <w:r w:rsidRPr="00DC373F">
              <w:rPr>
                <w:rFonts w:ascii="Times New Roman" w:hAnsi="Times New Roman" w:cs="Times New Roman"/>
                <w:sz w:val="24"/>
                <w:szCs w:val="24"/>
                <w:lang w:val="uk-UA"/>
              </w:rPr>
              <w:t xml:space="preserve"> у разі виникнення </w:t>
            </w:r>
            <w:r w:rsidR="008A53A2">
              <w:rPr>
                <w:rFonts w:ascii="Times New Roman" w:hAnsi="Times New Roman" w:cs="Times New Roman"/>
                <w:sz w:val="24"/>
                <w:szCs w:val="24"/>
                <w:lang w:val="uk-UA"/>
              </w:rPr>
              <w:t>в</w:t>
            </w:r>
            <w:r w:rsidRPr="00DC373F">
              <w:rPr>
                <w:rFonts w:ascii="Times New Roman" w:hAnsi="Times New Roman" w:cs="Times New Roman"/>
                <w:sz w:val="24"/>
                <w:szCs w:val="24"/>
                <w:lang w:val="uk-UA"/>
              </w:rPr>
              <w:t xml:space="preserve"> н</w:t>
            </w:r>
            <w:r w:rsidR="00C63396">
              <w:rPr>
                <w:rFonts w:ascii="Times New Roman" w:hAnsi="Times New Roman" w:cs="Times New Roman"/>
                <w:sz w:val="24"/>
                <w:szCs w:val="24"/>
                <w:lang w:val="uk-UA"/>
              </w:rPr>
              <w:t>еї</w:t>
            </w:r>
            <w:r w:rsidRPr="00DC373F">
              <w:rPr>
                <w:rFonts w:ascii="Times New Roman" w:hAnsi="Times New Roman" w:cs="Times New Roman"/>
                <w:sz w:val="24"/>
                <w:szCs w:val="24"/>
                <w:lang w:val="uk-UA"/>
              </w:rPr>
              <w:t xml:space="preserve"> потенційного або реального конфлікту інтересів </w:t>
            </w:r>
          </w:p>
        </w:tc>
        <w:tc>
          <w:tcPr>
            <w:tcW w:w="3828" w:type="dxa"/>
            <w:vAlign w:val="center"/>
          </w:tcPr>
          <w:p w:rsidR="00381601" w:rsidRPr="00DC373F" w:rsidRDefault="00381601" w:rsidP="00FE3324">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від</w:t>
            </w:r>
            <w:r>
              <w:rPr>
                <w:rFonts w:ascii="Times New Roman" w:hAnsi="Times New Roman" w:cs="Times New Roman"/>
                <w:sz w:val="24"/>
                <w:szCs w:val="24"/>
                <w:lang w:val="uk-UA"/>
              </w:rPr>
              <w:t>сторонення посадової особи від підготовки дорученого документа</w:t>
            </w:r>
            <w:r w:rsidRPr="00DC373F">
              <w:rPr>
                <w:rFonts w:ascii="Times New Roman" w:hAnsi="Times New Roman" w:cs="Times New Roman"/>
                <w:sz w:val="24"/>
                <w:szCs w:val="24"/>
                <w:lang w:val="uk-UA"/>
              </w:rPr>
              <w:t xml:space="preserve"> у разі виникнення у н</w:t>
            </w:r>
            <w:r w:rsidR="00C63396">
              <w:rPr>
                <w:rFonts w:ascii="Times New Roman" w:hAnsi="Times New Roman" w:cs="Times New Roman"/>
                <w:sz w:val="24"/>
                <w:szCs w:val="24"/>
                <w:lang w:val="uk-UA"/>
              </w:rPr>
              <w:t>еї</w:t>
            </w:r>
            <w:r w:rsidRPr="00DC373F">
              <w:rPr>
                <w:rFonts w:ascii="Times New Roman" w:hAnsi="Times New Roman" w:cs="Times New Roman"/>
                <w:sz w:val="24"/>
                <w:szCs w:val="24"/>
                <w:lang w:val="uk-UA"/>
              </w:rPr>
              <w:t xml:space="preserve"> потенційного або реального конфлікту інтересів може призвести до вчинення правопор</w:t>
            </w:r>
            <w:r>
              <w:rPr>
                <w:rFonts w:ascii="Times New Roman" w:hAnsi="Times New Roman" w:cs="Times New Roman"/>
                <w:sz w:val="24"/>
                <w:szCs w:val="24"/>
                <w:lang w:val="uk-UA"/>
              </w:rPr>
              <w:t>ушення, пов’язаного з корупцією</w:t>
            </w:r>
          </w:p>
        </w:tc>
        <w:tc>
          <w:tcPr>
            <w:tcW w:w="4110" w:type="dxa"/>
            <w:vAlign w:val="center"/>
          </w:tcPr>
          <w:p w:rsidR="00381601" w:rsidRPr="00DC373F" w:rsidRDefault="00381601" w:rsidP="00431A63">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w:t>
            </w:r>
            <w:r>
              <w:rPr>
                <w:rFonts w:ascii="Times New Roman" w:hAnsi="Times New Roman" w:cs="Times New Roman"/>
                <w:sz w:val="24"/>
                <w:szCs w:val="24"/>
                <w:lang w:val="uk-UA"/>
              </w:rPr>
              <w:t>в</w:t>
            </w:r>
            <w:r w:rsidRPr="00DC373F">
              <w:rPr>
                <w:rFonts w:ascii="Times New Roman" w:hAnsi="Times New Roman" w:cs="Times New Roman"/>
                <w:sz w:val="24"/>
                <w:szCs w:val="24"/>
                <w:lang w:val="uk-UA"/>
              </w:rPr>
              <w:t xml:space="preserve"> </w:t>
            </w:r>
            <w:r>
              <w:rPr>
                <w:rFonts w:ascii="Times New Roman" w:hAnsi="Times New Roman" w:cs="Times New Roman"/>
                <w:sz w:val="24"/>
                <w:szCs w:val="24"/>
                <w:lang w:val="uk-UA"/>
              </w:rPr>
              <w:t>Інструкції з Діловодства у Державному комітеті телебачення і радіомовлення України, затвердженій наказом від 10.08.2012 № 208</w:t>
            </w:r>
            <w:r w:rsidRPr="00DC373F">
              <w:rPr>
                <w:rFonts w:ascii="Times New Roman" w:hAnsi="Times New Roman" w:cs="Times New Roman"/>
                <w:sz w:val="24"/>
                <w:szCs w:val="24"/>
                <w:lang w:val="uk-UA"/>
              </w:rPr>
              <w:t>, положень щодо від</w:t>
            </w:r>
            <w:r>
              <w:rPr>
                <w:rFonts w:ascii="Times New Roman" w:hAnsi="Times New Roman" w:cs="Times New Roman"/>
                <w:sz w:val="24"/>
                <w:szCs w:val="24"/>
                <w:lang w:val="uk-UA"/>
              </w:rPr>
              <w:t>сторонення посадової особи від підготовки дорученого документа</w:t>
            </w:r>
            <w:r w:rsidRPr="00DC373F">
              <w:rPr>
                <w:rFonts w:ascii="Times New Roman" w:hAnsi="Times New Roman" w:cs="Times New Roman"/>
                <w:sz w:val="24"/>
                <w:szCs w:val="24"/>
                <w:lang w:val="uk-UA"/>
              </w:rPr>
              <w:t xml:space="preserve"> у разі виникнення </w:t>
            </w:r>
            <w:r w:rsidR="00431A63">
              <w:rPr>
                <w:rFonts w:ascii="Times New Roman" w:hAnsi="Times New Roman" w:cs="Times New Roman"/>
                <w:sz w:val="24"/>
                <w:szCs w:val="24"/>
                <w:lang w:val="uk-UA"/>
              </w:rPr>
              <w:t xml:space="preserve">в </w:t>
            </w:r>
            <w:r w:rsidRPr="00DC373F">
              <w:rPr>
                <w:rFonts w:ascii="Times New Roman" w:hAnsi="Times New Roman" w:cs="Times New Roman"/>
                <w:sz w:val="24"/>
                <w:szCs w:val="24"/>
                <w:lang w:val="uk-UA"/>
              </w:rPr>
              <w:t>н</w:t>
            </w:r>
            <w:r w:rsidR="00C63396">
              <w:rPr>
                <w:rFonts w:ascii="Times New Roman" w:hAnsi="Times New Roman" w:cs="Times New Roman"/>
                <w:sz w:val="24"/>
                <w:szCs w:val="24"/>
                <w:lang w:val="uk-UA"/>
              </w:rPr>
              <w:t>еї</w:t>
            </w:r>
            <w:r w:rsidRPr="00DC373F">
              <w:rPr>
                <w:rFonts w:ascii="Times New Roman" w:hAnsi="Times New Roman" w:cs="Times New Roman"/>
                <w:sz w:val="24"/>
                <w:szCs w:val="24"/>
                <w:lang w:val="uk-UA"/>
              </w:rPr>
              <w:t xml:space="preserve"> потенційного або реального конфлікту інтересів</w:t>
            </w:r>
          </w:p>
        </w:tc>
        <w:tc>
          <w:tcPr>
            <w:tcW w:w="5103" w:type="dxa"/>
            <w:vAlign w:val="center"/>
          </w:tcPr>
          <w:p w:rsidR="00381601" w:rsidRPr="00DC373F" w:rsidRDefault="00381601"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Притягнення посадових осіб до відповідальності за порушення вимог щодо запобігання та врегулювання конфлікту інтересів</w:t>
            </w:r>
          </w:p>
        </w:tc>
      </w:tr>
      <w:tr w:rsidR="00EF1E22" w:rsidRPr="00626C5E" w:rsidTr="0026376D">
        <w:trPr>
          <w:trHeight w:val="4416"/>
        </w:trPr>
        <w:tc>
          <w:tcPr>
            <w:tcW w:w="2835" w:type="dxa"/>
            <w:vAlign w:val="center"/>
          </w:tcPr>
          <w:p w:rsidR="00EF1E22" w:rsidRPr="00DC373F" w:rsidRDefault="00EF1E22" w:rsidP="00FE3324">
            <w:pPr>
              <w:tabs>
                <w:tab w:val="left" w:pos="2304"/>
              </w:tabs>
              <w:jc w:val="center"/>
              <w:rPr>
                <w:rFonts w:ascii="Times New Roman" w:hAnsi="Times New Roman" w:cs="Times New Roman"/>
                <w:sz w:val="24"/>
                <w:szCs w:val="24"/>
                <w:lang w:val="uk-UA"/>
              </w:rPr>
            </w:pPr>
            <w:proofErr w:type="spellStart"/>
            <w:r w:rsidRPr="00DC373F">
              <w:rPr>
                <w:rFonts w:ascii="Times New Roman" w:hAnsi="Times New Roman" w:cs="Times New Roman"/>
                <w:sz w:val="24"/>
                <w:szCs w:val="24"/>
                <w:lang w:val="uk-UA"/>
              </w:rPr>
              <w:lastRenderedPageBreak/>
              <w:t>ідсутність</w:t>
            </w:r>
            <w:proofErr w:type="spellEnd"/>
            <w:r w:rsidRPr="00DC373F">
              <w:rPr>
                <w:rFonts w:ascii="Times New Roman" w:hAnsi="Times New Roman" w:cs="Times New Roman"/>
                <w:sz w:val="24"/>
                <w:szCs w:val="24"/>
                <w:lang w:val="uk-UA"/>
              </w:rPr>
              <w:t xml:space="preserve"> </w:t>
            </w:r>
            <w:r w:rsidR="00C37C23">
              <w:rPr>
                <w:rFonts w:ascii="Times New Roman" w:hAnsi="Times New Roman" w:cs="Times New Roman"/>
                <w:sz w:val="24"/>
                <w:szCs w:val="24"/>
                <w:lang w:val="uk-UA"/>
              </w:rPr>
              <w:t>належного захисту інформації про осіб, які повідомляють про корупцію (</w:t>
            </w:r>
            <w:r w:rsidRPr="00DC373F">
              <w:rPr>
                <w:rFonts w:ascii="Times New Roman" w:hAnsi="Times New Roman" w:cs="Times New Roman"/>
                <w:sz w:val="24"/>
                <w:szCs w:val="24"/>
                <w:lang w:val="uk-UA"/>
              </w:rPr>
              <w:t>в</w:t>
            </w:r>
            <w:r w:rsidR="00C37C23">
              <w:rPr>
                <w:rFonts w:ascii="Times New Roman" w:hAnsi="Times New Roman" w:cs="Times New Roman"/>
                <w:sz w:val="24"/>
                <w:szCs w:val="24"/>
                <w:lang w:val="uk-UA"/>
              </w:rPr>
              <w:t>икривачів)</w:t>
            </w:r>
          </w:p>
        </w:tc>
        <w:tc>
          <w:tcPr>
            <w:tcW w:w="3828" w:type="dxa"/>
            <w:vAlign w:val="center"/>
          </w:tcPr>
          <w:p w:rsidR="00EF1E22" w:rsidRPr="00DC373F" w:rsidRDefault="00EF1E22" w:rsidP="00FE3324">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щодо обробки повідомлень про корупцію (отримання, реєстрація, накладення резолюції, розгляд, контроль) може спонукати посадових осіб до вчинення  корупційного чи пов’язаного з корупцією правопорушення, зокрема шляхом приховування, знищення повідомлень, передачі неналежним виконавцям з метою затягування строків його розгляду</w:t>
            </w:r>
            <w:r w:rsidR="00C37C23">
              <w:rPr>
                <w:rFonts w:ascii="Times New Roman" w:hAnsi="Times New Roman" w:cs="Times New Roman"/>
                <w:sz w:val="24"/>
                <w:szCs w:val="24"/>
                <w:lang w:val="uk-UA"/>
              </w:rPr>
              <w:t>, розголошення інформації про викрива</w:t>
            </w:r>
            <w:r w:rsidR="00BA09BA">
              <w:rPr>
                <w:rFonts w:ascii="Times New Roman" w:hAnsi="Times New Roman" w:cs="Times New Roman"/>
                <w:sz w:val="24"/>
                <w:szCs w:val="24"/>
                <w:lang w:val="uk-UA"/>
              </w:rPr>
              <w:t>чів</w:t>
            </w:r>
          </w:p>
        </w:tc>
        <w:tc>
          <w:tcPr>
            <w:tcW w:w="4110" w:type="dxa"/>
            <w:vAlign w:val="center"/>
          </w:tcPr>
          <w:p w:rsidR="00EF1E22" w:rsidRPr="00DC373F" w:rsidRDefault="00EF1E22" w:rsidP="000137DB">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Відсутність процедури та порядку обробки повідомлень про корупцію</w:t>
            </w:r>
            <w:r w:rsidR="00BA09BA">
              <w:rPr>
                <w:rFonts w:ascii="Times New Roman" w:hAnsi="Times New Roman" w:cs="Times New Roman"/>
                <w:sz w:val="24"/>
                <w:szCs w:val="24"/>
                <w:lang w:val="uk-UA"/>
              </w:rPr>
              <w:t>, не встановлення обмеження доступу посадових осіб до інформації про викривачів, незнання законодавства про заборону розголошення інформації про викривачів</w:t>
            </w:r>
          </w:p>
        </w:tc>
        <w:tc>
          <w:tcPr>
            <w:tcW w:w="5103" w:type="dxa"/>
            <w:vAlign w:val="center"/>
          </w:tcPr>
          <w:p w:rsidR="00EF1E22" w:rsidRPr="00DC373F" w:rsidRDefault="00EF1E22"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судові процеси проти </w:t>
            </w:r>
            <w:r>
              <w:rPr>
                <w:rFonts w:ascii="Times New Roman" w:hAnsi="Times New Roman" w:cs="Times New Roman"/>
                <w:sz w:val="24"/>
                <w:szCs w:val="24"/>
                <w:lang w:val="uk-UA"/>
              </w:rPr>
              <w:t>Держкомтелерадіо</w:t>
            </w:r>
            <w:r w:rsidR="00BA09BA">
              <w:rPr>
                <w:rFonts w:ascii="Times New Roman" w:hAnsi="Times New Roman" w:cs="Times New Roman"/>
                <w:sz w:val="24"/>
                <w:szCs w:val="24"/>
                <w:lang w:val="uk-UA"/>
              </w:rPr>
              <w:t>, можливі фінансові втрати та людські жертви</w:t>
            </w:r>
          </w:p>
        </w:tc>
      </w:tr>
      <w:tr w:rsidR="00FB4938" w:rsidRPr="00DC373F" w:rsidTr="0026376D">
        <w:trPr>
          <w:trHeight w:val="259"/>
        </w:trPr>
        <w:tc>
          <w:tcPr>
            <w:tcW w:w="15876" w:type="dxa"/>
            <w:gridSpan w:val="4"/>
            <w:vAlign w:val="center"/>
          </w:tcPr>
          <w:p w:rsidR="00FB4938" w:rsidRPr="00117D42" w:rsidRDefault="00FB4938" w:rsidP="000137DB">
            <w:pPr>
              <w:pStyle w:val="aa"/>
              <w:numPr>
                <w:ilvl w:val="0"/>
                <w:numId w:val="3"/>
              </w:numPr>
              <w:tabs>
                <w:tab w:val="left" w:pos="2638"/>
              </w:tabs>
              <w:jc w:val="center"/>
              <w:rPr>
                <w:rFonts w:ascii="Times New Roman" w:hAnsi="Times New Roman" w:cs="Times New Roman"/>
                <w:b/>
                <w:sz w:val="28"/>
                <w:szCs w:val="28"/>
                <w:lang w:val="uk-UA"/>
              </w:rPr>
            </w:pPr>
            <w:r w:rsidRPr="00117D42">
              <w:rPr>
                <w:rFonts w:ascii="Times New Roman" w:hAnsi="Times New Roman" w:cs="Times New Roman"/>
                <w:b/>
                <w:sz w:val="28"/>
                <w:szCs w:val="28"/>
                <w:lang w:val="uk-UA" w:eastAsia="ru-RU"/>
              </w:rPr>
              <w:t>Управління персоналом</w:t>
            </w:r>
          </w:p>
        </w:tc>
      </w:tr>
      <w:tr w:rsidR="00CE1CDD" w:rsidRPr="00626C5E" w:rsidTr="0026376D">
        <w:tc>
          <w:tcPr>
            <w:tcW w:w="2835" w:type="dxa"/>
            <w:vAlign w:val="center"/>
          </w:tcPr>
          <w:p w:rsidR="00CE1CDD" w:rsidRPr="00DC373F" w:rsidRDefault="00CE1CDD" w:rsidP="006A5933">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Неврегульованість </w:t>
            </w:r>
            <w:r w:rsidR="006A5933">
              <w:rPr>
                <w:rFonts w:ascii="Times New Roman" w:hAnsi="Times New Roman" w:cs="Times New Roman"/>
                <w:sz w:val="24"/>
                <w:szCs w:val="24"/>
                <w:lang w:val="uk-UA"/>
              </w:rPr>
              <w:t xml:space="preserve">на законодавчому рівні </w:t>
            </w:r>
            <w:r w:rsidRPr="00DC373F">
              <w:rPr>
                <w:rFonts w:ascii="Times New Roman" w:hAnsi="Times New Roman" w:cs="Times New Roman"/>
                <w:sz w:val="24"/>
                <w:szCs w:val="24"/>
                <w:lang w:val="uk-UA"/>
              </w:rPr>
              <w:t>п</w:t>
            </w:r>
            <w:r w:rsidR="006A5933">
              <w:rPr>
                <w:rFonts w:ascii="Times New Roman" w:hAnsi="Times New Roman" w:cs="Times New Roman"/>
                <w:sz w:val="24"/>
                <w:szCs w:val="24"/>
                <w:lang w:val="uk-UA"/>
              </w:rPr>
              <w:t>итання</w:t>
            </w:r>
            <w:r w:rsidRPr="00DC373F">
              <w:rPr>
                <w:rFonts w:ascii="Times New Roman" w:hAnsi="Times New Roman" w:cs="Times New Roman"/>
                <w:sz w:val="24"/>
                <w:szCs w:val="24"/>
                <w:lang w:val="uk-UA"/>
              </w:rPr>
              <w:t xml:space="preserve"> </w:t>
            </w:r>
            <w:r w:rsidR="006A5933">
              <w:rPr>
                <w:rFonts w:ascii="Times New Roman" w:hAnsi="Times New Roman" w:cs="Times New Roman"/>
                <w:sz w:val="24"/>
                <w:szCs w:val="24"/>
                <w:lang w:val="uk-UA"/>
              </w:rPr>
              <w:t xml:space="preserve">щодо </w:t>
            </w:r>
            <w:r w:rsidRPr="00DC373F">
              <w:rPr>
                <w:rFonts w:ascii="Times New Roman" w:hAnsi="Times New Roman" w:cs="Times New Roman"/>
                <w:sz w:val="24"/>
                <w:szCs w:val="24"/>
                <w:lang w:val="uk-UA"/>
              </w:rPr>
              <w:t>від</w:t>
            </w:r>
            <w:r>
              <w:rPr>
                <w:rFonts w:ascii="Times New Roman" w:hAnsi="Times New Roman" w:cs="Times New Roman"/>
                <w:sz w:val="24"/>
                <w:szCs w:val="24"/>
                <w:lang w:val="uk-UA"/>
              </w:rPr>
              <w:t>кликання/відводу члена конкурсної комісії в</w:t>
            </w:r>
            <w:r w:rsidRPr="00DC373F">
              <w:rPr>
                <w:rFonts w:ascii="Times New Roman" w:hAnsi="Times New Roman" w:cs="Times New Roman"/>
                <w:sz w:val="24"/>
                <w:szCs w:val="24"/>
                <w:lang w:val="uk-UA"/>
              </w:rPr>
              <w:t xml:space="preserve"> разі виникнення у н</w:t>
            </w:r>
            <w:r>
              <w:rPr>
                <w:rFonts w:ascii="Times New Roman" w:hAnsi="Times New Roman" w:cs="Times New Roman"/>
                <w:sz w:val="24"/>
                <w:szCs w:val="24"/>
                <w:lang w:val="uk-UA"/>
              </w:rPr>
              <w:t>ього</w:t>
            </w:r>
            <w:r w:rsidRPr="00DC373F">
              <w:rPr>
                <w:rFonts w:ascii="Times New Roman" w:hAnsi="Times New Roman" w:cs="Times New Roman"/>
                <w:sz w:val="24"/>
                <w:szCs w:val="24"/>
                <w:lang w:val="uk-UA"/>
              </w:rPr>
              <w:t xml:space="preserve"> потенційного або реального конфлікту інтересів </w:t>
            </w:r>
          </w:p>
        </w:tc>
        <w:tc>
          <w:tcPr>
            <w:tcW w:w="3828" w:type="dxa"/>
            <w:vAlign w:val="center"/>
          </w:tcPr>
          <w:p w:rsidR="00CE1CDD" w:rsidRPr="00DC373F" w:rsidRDefault="00CE1CDD" w:rsidP="006A5933">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від</w:t>
            </w:r>
            <w:r>
              <w:rPr>
                <w:rFonts w:ascii="Times New Roman" w:hAnsi="Times New Roman" w:cs="Times New Roman"/>
                <w:sz w:val="24"/>
                <w:szCs w:val="24"/>
                <w:lang w:val="uk-UA"/>
              </w:rPr>
              <w:t xml:space="preserve">кликання/відводу члена </w:t>
            </w:r>
            <w:r w:rsidR="006A5933">
              <w:rPr>
                <w:rFonts w:ascii="Times New Roman" w:hAnsi="Times New Roman" w:cs="Times New Roman"/>
                <w:sz w:val="24"/>
                <w:szCs w:val="24"/>
                <w:lang w:val="uk-UA"/>
              </w:rPr>
              <w:t>конкурсної комісії</w:t>
            </w:r>
            <w:r>
              <w:rPr>
                <w:rFonts w:ascii="Times New Roman" w:hAnsi="Times New Roman" w:cs="Times New Roman"/>
                <w:sz w:val="24"/>
                <w:szCs w:val="24"/>
                <w:lang w:val="uk-UA"/>
              </w:rPr>
              <w:t xml:space="preserve"> в</w:t>
            </w:r>
            <w:r w:rsidRPr="00DC373F">
              <w:rPr>
                <w:rFonts w:ascii="Times New Roman" w:hAnsi="Times New Roman" w:cs="Times New Roman"/>
                <w:sz w:val="24"/>
                <w:szCs w:val="24"/>
                <w:lang w:val="uk-UA"/>
              </w:rPr>
              <w:t xml:space="preserve"> разі виникнення у н</w:t>
            </w:r>
            <w:r>
              <w:rPr>
                <w:rFonts w:ascii="Times New Roman" w:hAnsi="Times New Roman" w:cs="Times New Roman"/>
                <w:sz w:val="24"/>
                <w:szCs w:val="24"/>
                <w:lang w:val="uk-UA"/>
              </w:rPr>
              <w:t>ього</w:t>
            </w:r>
            <w:r w:rsidRPr="00DC373F">
              <w:rPr>
                <w:rFonts w:ascii="Times New Roman" w:hAnsi="Times New Roman" w:cs="Times New Roman"/>
                <w:sz w:val="24"/>
                <w:szCs w:val="24"/>
                <w:lang w:val="uk-UA"/>
              </w:rPr>
              <w:t xml:space="preserve"> потенційного або реального конфлікту інтересів може призвести до вчинення правопор</w:t>
            </w:r>
            <w:r>
              <w:rPr>
                <w:rFonts w:ascii="Times New Roman" w:hAnsi="Times New Roman" w:cs="Times New Roman"/>
                <w:sz w:val="24"/>
                <w:szCs w:val="24"/>
                <w:lang w:val="uk-UA"/>
              </w:rPr>
              <w:t>ушення, пов’язаного з корупцією</w:t>
            </w:r>
          </w:p>
        </w:tc>
        <w:tc>
          <w:tcPr>
            <w:tcW w:w="4110" w:type="dxa"/>
            <w:vAlign w:val="center"/>
          </w:tcPr>
          <w:p w:rsidR="006A5933" w:rsidRPr="00DC373F" w:rsidRDefault="00CE1CDD" w:rsidP="006A5933">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w:t>
            </w:r>
            <w:r w:rsidR="006A5933" w:rsidRPr="00DC373F">
              <w:rPr>
                <w:rFonts w:ascii="Times New Roman" w:hAnsi="Times New Roman" w:cs="Times New Roman"/>
                <w:sz w:val="24"/>
                <w:szCs w:val="24"/>
                <w:lang w:val="uk-UA"/>
              </w:rPr>
              <w:t xml:space="preserve"> законодавчо закріплен</w:t>
            </w:r>
            <w:r w:rsidR="006A5933">
              <w:rPr>
                <w:rFonts w:ascii="Times New Roman" w:hAnsi="Times New Roman" w:cs="Times New Roman"/>
                <w:sz w:val="24"/>
                <w:szCs w:val="24"/>
                <w:lang w:val="uk-UA"/>
              </w:rPr>
              <w:t>о</w:t>
            </w:r>
            <w:r w:rsidR="00070EBE">
              <w:rPr>
                <w:rFonts w:ascii="Times New Roman" w:hAnsi="Times New Roman" w:cs="Times New Roman"/>
                <w:sz w:val="24"/>
                <w:szCs w:val="24"/>
                <w:lang w:val="uk-UA"/>
              </w:rPr>
              <w:t>ї</w:t>
            </w:r>
            <w:r w:rsidR="006A5933" w:rsidRPr="00DC373F">
              <w:rPr>
                <w:rFonts w:ascii="Times New Roman" w:hAnsi="Times New Roman" w:cs="Times New Roman"/>
                <w:sz w:val="24"/>
                <w:szCs w:val="24"/>
                <w:lang w:val="uk-UA"/>
              </w:rPr>
              <w:t xml:space="preserve"> п</w:t>
            </w:r>
            <w:r w:rsidR="00070EBE">
              <w:rPr>
                <w:rFonts w:ascii="Times New Roman" w:hAnsi="Times New Roman" w:cs="Times New Roman"/>
                <w:sz w:val="24"/>
                <w:szCs w:val="24"/>
                <w:lang w:val="uk-UA"/>
              </w:rPr>
              <w:t>роцедури</w:t>
            </w:r>
            <w:r w:rsidR="006A5933">
              <w:rPr>
                <w:rFonts w:ascii="Times New Roman" w:hAnsi="Times New Roman" w:cs="Times New Roman"/>
                <w:sz w:val="24"/>
                <w:szCs w:val="24"/>
                <w:lang w:val="uk-UA"/>
              </w:rPr>
              <w:t xml:space="preserve"> щодо </w:t>
            </w:r>
            <w:r w:rsidR="006A5933" w:rsidRPr="00DC373F">
              <w:rPr>
                <w:rFonts w:ascii="Times New Roman" w:hAnsi="Times New Roman" w:cs="Times New Roman"/>
                <w:sz w:val="24"/>
                <w:szCs w:val="24"/>
                <w:lang w:val="uk-UA"/>
              </w:rPr>
              <w:t>від</w:t>
            </w:r>
            <w:r w:rsidR="006A5933">
              <w:rPr>
                <w:rFonts w:ascii="Times New Roman" w:hAnsi="Times New Roman" w:cs="Times New Roman"/>
                <w:sz w:val="24"/>
                <w:szCs w:val="24"/>
                <w:lang w:val="uk-UA"/>
              </w:rPr>
              <w:t>кликання/відводу члена конкурсної комісії в</w:t>
            </w:r>
            <w:r w:rsidR="006A5933" w:rsidRPr="00DC373F">
              <w:rPr>
                <w:rFonts w:ascii="Times New Roman" w:hAnsi="Times New Roman" w:cs="Times New Roman"/>
                <w:sz w:val="24"/>
                <w:szCs w:val="24"/>
                <w:lang w:val="uk-UA"/>
              </w:rPr>
              <w:t xml:space="preserve"> разі виникнення у н</w:t>
            </w:r>
            <w:r w:rsidR="006A5933">
              <w:rPr>
                <w:rFonts w:ascii="Times New Roman" w:hAnsi="Times New Roman" w:cs="Times New Roman"/>
                <w:sz w:val="24"/>
                <w:szCs w:val="24"/>
                <w:lang w:val="uk-UA"/>
              </w:rPr>
              <w:t>ього</w:t>
            </w:r>
            <w:r w:rsidR="006A5933" w:rsidRPr="00DC373F">
              <w:rPr>
                <w:rFonts w:ascii="Times New Roman" w:hAnsi="Times New Roman" w:cs="Times New Roman"/>
                <w:sz w:val="24"/>
                <w:szCs w:val="24"/>
                <w:lang w:val="uk-UA"/>
              </w:rPr>
              <w:t xml:space="preserve"> потенційного або реального конфлікту інтересів</w:t>
            </w:r>
            <w:r w:rsidR="002228D8">
              <w:rPr>
                <w:rFonts w:ascii="Times New Roman" w:hAnsi="Times New Roman" w:cs="Times New Roman"/>
                <w:sz w:val="24"/>
                <w:szCs w:val="24"/>
                <w:lang w:val="uk-UA"/>
              </w:rPr>
              <w:t>, відсутність процедури розкриття інформації про конфлікт інтересів членами конкурсної комісії</w:t>
            </w:r>
            <w:r w:rsidR="006A5933" w:rsidRPr="00DC373F">
              <w:rPr>
                <w:rFonts w:ascii="Times New Roman" w:hAnsi="Times New Roman" w:cs="Times New Roman"/>
                <w:sz w:val="24"/>
                <w:szCs w:val="24"/>
                <w:lang w:val="uk-UA"/>
              </w:rPr>
              <w:t xml:space="preserve"> </w:t>
            </w:r>
          </w:p>
          <w:p w:rsidR="00CE1CDD" w:rsidRPr="00DC373F" w:rsidRDefault="00CE1CDD" w:rsidP="00EF6ABF">
            <w:pPr>
              <w:tabs>
                <w:tab w:val="left" w:pos="2638"/>
              </w:tabs>
              <w:jc w:val="center"/>
              <w:rPr>
                <w:rFonts w:ascii="Times New Roman" w:hAnsi="Times New Roman" w:cs="Times New Roman"/>
                <w:sz w:val="24"/>
                <w:szCs w:val="24"/>
                <w:lang w:val="uk-UA"/>
              </w:rPr>
            </w:pPr>
          </w:p>
        </w:tc>
        <w:tc>
          <w:tcPr>
            <w:tcW w:w="5103" w:type="dxa"/>
            <w:vAlign w:val="center"/>
          </w:tcPr>
          <w:p w:rsidR="00CE1CDD" w:rsidRPr="00DC373F" w:rsidRDefault="00CE1CDD" w:rsidP="00EF6ABF">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Притягнення посадових осіб до відповідальності за порушення вимог щодо запобігання та врегулювання конфлікту інтересів</w:t>
            </w:r>
          </w:p>
        </w:tc>
      </w:tr>
      <w:tr w:rsidR="00CE1CDD" w:rsidRPr="00626C5E" w:rsidTr="0026376D">
        <w:tc>
          <w:tcPr>
            <w:tcW w:w="2835" w:type="dxa"/>
            <w:vAlign w:val="center"/>
          </w:tcPr>
          <w:p w:rsidR="00CE1CDD" w:rsidRPr="00DC373F" w:rsidRDefault="00CE1CDD" w:rsidP="00EF6ABF">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чітких критеріїв щодо розробки </w:t>
            </w:r>
            <w:r w:rsidRPr="00DC373F">
              <w:rPr>
                <w:rFonts w:ascii="Times New Roman" w:hAnsi="Times New Roman" w:cs="Times New Roman"/>
                <w:sz w:val="24"/>
                <w:szCs w:val="24"/>
                <w:lang w:val="uk-UA"/>
              </w:rPr>
              <w:br/>
              <w:t>ситуаційних завдань та оцінки їх виконання конкурсною комісією</w:t>
            </w:r>
          </w:p>
        </w:tc>
        <w:tc>
          <w:tcPr>
            <w:tcW w:w="3828" w:type="dxa"/>
            <w:vAlign w:val="center"/>
          </w:tcPr>
          <w:p w:rsidR="00CE1CDD" w:rsidRPr="00DC373F" w:rsidRDefault="00CE1CDD" w:rsidP="002228D8">
            <w:pPr>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чітких критеріїв щодо розробки ситуаційних завдань та оцінки їх виконання конкурсною комісією може призвести до підготовки таких завдань, які не дають змогу встановити професійну компетентність кандидата, або розробки ситуаційних завдань, які будуть відповідати рівню професійної </w:t>
            </w:r>
            <w:r w:rsidRPr="00DC373F">
              <w:rPr>
                <w:rFonts w:ascii="Times New Roman" w:hAnsi="Times New Roman" w:cs="Times New Roman"/>
                <w:sz w:val="24"/>
                <w:szCs w:val="24"/>
                <w:lang w:val="uk-UA"/>
              </w:rPr>
              <w:lastRenderedPageBreak/>
              <w:t>компетент</w:t>
            </w:r>
            <w:r>
              <w:rPr>
                <w:rFonts w:ascii="Times New Roman" w:hAnsi="Times New Roman" w:cs="Times New Roman"/>
                <w:sz w:val="24"/>
                <w:szCs w:val="24"/>
                <w:lang w:val="uk-UA"/>
              </w:rPr>
              <w:t xml:space="preserve">ності конкретного кандидата, </w:t>
            </w:r>
            <w:r w:rsidRPr="00DC373F">
              <w:rPr>
                <w:rFonts w:ascii="Times New Roman" w:hAnsi="Times New Roman" w:cs="Times New Roman"/>
                <w:sz w:val="24"/>
                <w:szCs w:val="24"/>
                <w:lang w:val="uk-UA"/>
              </w:rPr>
              <w:t>прийняття на власний розсуд рішень щодо відповідності/невідповідності кандидата посаді</w:t>
            </w:r>
          </w:p>
        </w:tc>
        <w:tc>
          <w:tcPr>
            <w:tcW w:w="4110" w:type="dxa"/>
            <w:vAlign w:val="center"/>
          </w:tcPr>
          <w:p w:rsidR="00CE1CDD" w:rsidRPr="00DC373F" w:rsidRDefault="00CE1CDD" w:rsidP="00EF6ABF">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lastRenderedPageBreak/>
              <w:t>Невизначеність критеріїв розробки ситуаційних завдань</w:t>
            </w:r>
          </w:p>
          <w:p w:rsidR="00CE1CDD" w:rsidRPr="00DC373F" w:rsidRDefault="00CE1CDD" w:rsidP="00EF6ABF">
            <w:pPr>
              <w:tabs>
                <w:tab w:val="left" w:pos="2304"/>
              </w:tabs>
              <w:jc w:val="center"/>
              <w:rPr>
                <w:rFonts w:ascii="Times New Roman" w:hAnsi="Times New Roman" w:cs="Times New Roman"/>
                <w:sz w:val="24"/>
                <w:szCs w:val="24"/>
                <w:lang w:val="uk-UA"/>
              </w:rPr>
            </w:pPr>
          </w:p>
        </w:tc>
        <w:tc>
          <w:tcPr>
            <w:tcW w:w="5103" w:type="dxa"/>
            <w:vAlign w:val="center"/>
          </w:tcPr>
          <w:p w:rsidR="00CE1CDD" w:rsidRPr="00DC373F" w:rsidRDefault="00CE1CDD" w:rsidP="00EF6ABF">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w:t>
            </w:r>
            <w:r w:rsidR="002228D8">
              <w:rPr>
                <w:rFonts w:ascii="Times New Roman" w:hAnsi="Times New Roman" w:cs="Times New Roman"/>
                <w:sz w:val="24"/>
                <w:szCs w:val="24"/>
                <w:lang w:val="uk-UA"/>
              </w:rPr>
              <w:t xml:space="preserve">можливі </w:t>
            </w:r>
            <w:r w:rsidRPr="00DC373F">
              <w:rPr>
                <w:rFonts w:ascii="Times New Roman" w:hAnsi="Times New Roman" w:cs="Times New Roman"/>
                <w:sz w:val="24"/>
                <w:szCs w:val="24"/>
                <w:lang w:val="uk-UA"/>
              </w:rPr>
              <w:t xml:space="preserve">судові процеси проти </w:t>
            </w:r>
            <w:r>
              <w:rPr>
                <w:rFonts w:ascii="Times New Roman" w:hAnsi="Times New Roman" w:cs="Times New Roman"/>
                <w:sz w:val="24"/>
                <w:szCs w:val="24"/>
                <w:lang w:val="uk-UA"/>
              </w:rPr>
              <w:t>Держкомтелерадіо</w:t>
            </w:r>
          </w:p>
        </w:tc>
      </w:tr>
      <w:tr w:rsidR="00CE1CDD" w:rsidRPr="00626C5E" w:rsidTr="0026376D">
        <w:tc>
          <w:tcPr>
            <w:tcW w:w="2835" w:type="dxa"/>
            <w:vAlign w:val="center"/>
          </w:tcPr>
          <w:p w:rsidR="00CE1CDD" w:rsidRPr="00DC373F" w:rsidRDefault="00CE1CDD" w:rsidP="00EF6ABF">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lastRenderedPageBreak/>
              <w:t>Відсутність критеріїв оцінки професійної підготовки та професійної компетентності при застосуванні процедури переведення</w:t>
            </w:r>
          </w:p>
        </w:tc>
        <w:tc>
          <w:tcPr>
            <w:tcW w:w="3828" w:type="dxa"/>
            <w:vAlign w:val="center"/>
          </w:tcPr>
          <w:p w:rsidR="00CE1CDD" w:rsidRPr="00DC373F" w:rsidRDefault="00CE1CDD" w:rsidP="00EF6ABF">
            <w:pPr>
              <w:tabs>
                <w:tab w:val="left" w:pos="2304"/>
              </w:tabs>
              <w:jc w:val="center"/>
              <w:rPr>
                <w:rFonts w:ascii="Times New Roman" w:hAnsi="Times New Roman" w:cs="Times New Roman"/>
                <w:sz w:val="24"/>
                <w:szCs w:val="24"/>
                <w:highlight w:val="yellow"/>
                <w:lang w:val="uk-UA"/>
              </w:rPr>
            </w:pPr>
            <w:r w:rsidRPr="00DC373F">
              <w:rPr>
                <w:rFonts w:ascii="Times New Roman" w:hAnsi="Times New Roman" w:cs="Times New Roman"/>
                <w:sz w:val="24"/>
                <w:szCs w:val="24"/>
                <w:lang w:val="uk-UA"/>
              </w:rPr>
              <w:t>Відсутність критеріїв професійної підготовки та професійної компетенції може сприяти прийому на роботу осіб незалежно від їх відповідності кваліфікаційним вимогам</w:t>
            </w:r>
          </w:p>
        </w:tc>
        <w:tc>
          <w:tcPr>
            <w:tcW w:w="4110" w:type="dxa"/>
            <w:vAlign w:val="center"/>
          </w:tcPr>
          <w:p w:rsidR="00CE1CDD" w:rsidRPr="00DC373F" w:rsidRDefault="00CE1CDD" w:rsidP="00EF6ABF">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Відсутність критеріїв відповідності кваліфікаційним вимогам</w:t>
            </w:r>
          </w:p>
        </w:tc>
        <w:tc>
          <w:tcPr>
            <w:tcW w:w="5103" w:type="dxa"/>
            <w:vAlign w:val="center"/>
          </w:tcPr>
          <w:p w:rsidR="00CE1CDD" w:rsidRPr="00DC373F" w:rsidRDefault="00CE1CDD" w:rsidP="00EF6ABF">
            <w:pPr>
              <w:tabs>
                <w:tab w:val="left" w:pos="2638"/>
              </w:tabs>
              <w:jc w:val="center"/>
              <w:rPr>
                <w:rFonts w:ascii="Times New Roman" w:hAnsi="Times New Roman" w:cs="Times New Roman"/>
                <w:sz w:val="24"/>
                <w:szCs w:val="24"/>
                <w:highlight w:val="yellow"/>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w:t>
            </w:r>
            <w:r w:rsidR="002228D8">
              <w:rPr>
                <w:rFonts w:ascii="Times New Roman" w:hAnsi="Times New Roman" w:cs="Times New Roman"/>
                <w:sz w:val="24"/>
                <w:szCs w:val="24"/>
                <w:lang w:val="uk-UA"/>
              </w:rPr>
              <w:t xml:space="preserve"> можливі</w:t>
            </w:r>
            <w:r w:rsidRPr="00DC373F">
              <w:rPr>
                <w:rFonts w:ascii="Times New Roman" w:hAnsi="Times New Roman" w:cs="Times New Roman"/>
                <w:sz w:val="24"/>
                <w:szCs w:val="24"/>
                <w:lang w:val="uk-UA"/>
              </w:rPr>
              <w:t xml:space="preserve"> судові процеси проти </w:t>
            </w:r>
            <w:r>
              <w:rPr>
                <w:rFonts w:ascii="Times New Roman" w:hAnsi="Times New Roman" w:cs="Times New Roman"/>
                <w:sz w:val="24"/>
                <w:szCs w:val="24"/>
                <w:lang w:val="uk-UA"/>
              </w:rPr>
              <w:t>Держкомтелерадіо</w:t>
            </w:r>
          </w:p>
        </w:tc>
      </w:tr>
      <w:tr w:rsidR="00CE1CDD" w:rsidRPr="00DC373F" w:rsidTr="0026376D">
        <w:tc>
          <w:tcPr>
            <w:tcW w:w="2835" w:type="dxa"/>
            <w:vAlign w:val="center"/>
          </w:tcPr>
          <w:p w:rsidR="00CE1CDD" w:rsidRPr="00DC373F" w:rsidRDefault="00CE1CDD" w:rsidP="008064D8">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закріплення за  керівниками структурних підрозділів повноважень з управління персоналом</w:t>
            </w:r>
          </w:p>
        </w:tc>
        <w:tc>
          <w:tcPr>
            <w:tcW w:w="3828" w:type="dxa"/>
            <w:vAlign w:val="center"/>
          </w:tcPr>
          <w:p w:rsidR="00CE1CDD" w:rsidRPr="00DC373F" w:rsidRDefault="00CE1CDD" w:rsidP="00CF358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закріплення за керівниками структурних підрозділів повноважень з управління персоналом може призвести до послаблення контролю з їх сторони за </w:t>
            </w:r>
            <w:r w:rsidRPr="007D148D">
              <w:rPr>
                <w:rFonts w:ascii="Times New Roman" w:hAnsi="Times New Roman" w:cs="Times New Roman"/>
                <w:sz w:val="24"/>
                <w:szCs w:val="24"/>
                <w:lang w:val="uk-UA"/>
              </w:rPr>
              <w:t xml:space="preserve">якісним та своєчасним виконанням </w:t>
            </w:r>
            <w:r>
              <w:rPr>
                <w:rFonts w:ascii="Times New Roman" w:hAnsi="Times New Roman" w:cs="Times New Roman"/>
                <w:sz w:val="24"/>
                <w:szCs w:val="24"/>
                <w:lang w:val="uk-UA"/>
              </w:rPr>
              <w:t xml:space="preserve">підлеглими </w:t>
            </w:r>
            <w:r w:rsidRPr="007D148D">
              <w:rPr>
                <w:rFonts w:ascii="Times New Roman" w:hAnsi="Times New Roman" w:cs="Times New Roman"/>
                <w:sz w:val="24"/>
                <w:szCs w:val="24"/>
                <w:lang w:val="uk-UA"/>
              </w:rPr>
              <w:t>працівник</w:t>
            </w:r>
            <w:r>
              <w:rPr>
                <w:rFonts w:ascii="Times New Roman" w:hAnsi="Times New Roman" w:cs="Times New Roman"/>
                <w:sz w:val="24"/>
                <w:szCs w:val="24"/>
                <w:lang w:val="uk-UA"/>
              </w:rPr>
              <w:t>ами своїх службо</w:t>
            </w:r>
            <w:r w:rsidRPr="007D148D">
              <w:rPr>
                <w:rFonts w:ascii="Times New Roman" w:hAnsi="Times New Roman" w:cs="Times New Roman"/>
                <w:sz w:val="24"/>
                <w:szCs w:val="24"/>
                <w:lang w:val="uk-UA"/>
              </w:rPr>
              <w:t>вих обов’язків</w:t>
            </w:r>
          </w:p>
        </w:tc>
        <w:tc>
          <w:tcPr>
            <w:tcW w:w="4110" w:type="dxa"/>
            <w:vAlign w:val="center"/>
          </w:tcPr>
          <w:p w:rsidR="00CE1CDD" w:rsidRPr="00DC373F" w:rsidRDefault="00CE1CDD" w:rsidP="00CF3583">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в положеннях про структурні підрозділи закріплення за  їх керівниками повноважень з управління персоналом</w:t>
            </w:r>
          </w:p>
        </w:tc>
        <w:tc>
          <w:tcPr>
            <w:tcW w:w="5103" w:type="dxa"/>
            <w:vAlign w:val="center"/>
          </w:tcPr>
          <w:p w:rsidR="00CE1CDD" w:rsidRPr="00DC373F" w:rsidRDefault="00CE1CDD" w:rsidP="000F358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p>
        </w:tc>
      </w:tr>
      <w:tr w:rsidR="00CE1CDD" w:rsidRPr="00DC373F" w:rsidTr="0026376D">
        <w:tc>
          <w:tcPr>
            <w:tcW w:w="15876" w:type="dxa"/>
            <w:gridSpan w:val="4"/>
            <w:vAlign w:val="center"/>
          </w:tcPr>
          <w:p w:rsidR="00CE1CDD" w:rsidRPr="00117D42" w:rsidRDefault="00CE1CDD" w:rsidP="00D61DDF">
            <w:pPr>
              <w:pStyle w:val="aa"/>
              <w:numPr>
                <w:ilvl w:val="0"/>
                <w:numId w:val="3"/>
              </w:numPr>
              <w:tabs>
                <w:tab w:val="left" w:pos="2638"/>
              </w:tabs>
              <w:jc w:val="center"/>
              <w:rPr>
                <w:rFonts w:ascii="Times New Roman" w:hAnsi="Times New Roman" w:cs="Times New Roman"/>
                <w:b/>
                <w:sz w:val="28"/>
                <w:szCs w:val="28"/>
                <w:lang w:val="uk-UA"/>
              </w:rPr>
            </w:pPr>
            <w:r w:rsidRPr="00117D42">
              <w:rPr>
                <w:rFonts w:ascii="Times New Roman" w:hAnsi="Times New Roman" w:cs="Times New Roman"/>
                <w:b/>
                <w:sz w:val="28"/>
                <w:szCs w:val="28"/>
                <w:lang w:val="uk-UA"/>
              </w:rPr>
              <w:t xml:space="preserve">Проведення процедур публічних </w:t>
            </w:r>
            <w:proofErr w:type="spellStart"/>
            <w:r w:rsidRPr="00117D42">
              <w:rPr>
                <w:rFonts w:ascii="Times New Roman" w:hAnsi="Times New Roman" w:cs="Times New Roman"/>
                <w:b/>
                <w:sz w:val="28"/>
                <w:szCs w:val="28"/>
                <w:lang w:val="uk-UA"/>
              </w:rPr>
              <w:t>закупівель</w:t>
            </w:r>
            <w:proofErr w:type="spellEnd"/>
          </w:p>
        </w:tc>
      </w:tr>
      <w:tr w:rsidR="00CE1CDD" w:rsidRPr="00626C5E" w:rsidTr="0026376D">
        <w:tc>
          <w:tcPr>
            <w:tcW w:w="2835" w:type="dxa"/>
            <w:vAlign w:val="center"/>
          </w:tcPr>
          <w:p w:rsidR="00CE1CDD" w:rsidRPr="00DC373F" w:rsidRDefault="00CE1CDD" w:rsidP="007D65AB">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від</w:t>
            </w:r>
            <w:r>
              <w:rPr>
                <w:rFonts w:ascii="Times New Roman" w:hAnsi="Times New Roman" w:cs="Times New Roman"/>
                <w:sz w:val="24"/>
                <w:szCs w:val="24"/>
                <w:lang w:val="uk-UA"/>
              </w:rPr>
              <w:t>кликання/відводу члена тендерного комітету в</w:t>
            </w:r>
            <w:r w:rsidRPr="00DC373F">
              <w:rPr>
                <w:rFonts w:ascii="Times New Roman" w:hAnsi="Times New Roman" w:cs="Times New Roman"/>
                <w:sz w:val="24"/>
                <w:szCs w:val="24"/>
                <w:lang w:val="uk-UA"/>
              </w:rPr>
              <w:t xml:space="preserve"> разі виникнення у н</w:t>
            </w:r>
            <w:r>
              <w:rPr>
                <w:rFonts w:ascii="Times New Roman" w:hAnsi="Times New Roman" w:cs="Times New Roman"/>
                <w:sz w:val="24"/>
                <w:szCs w:val="24"/>
                <w:lang w:val="uk-UA"/>
              </w:rPr>
              <w:t>ього</w:t>
            </w:r>
            <w:r w:rsidRPr="00DC373F">
              <w:rPr>
                <w:rFonts w:ascii="Times New Roman" w:hAnsi="Times New Roman" w:cs="Times New Roman"/>
                <w:sz w:val="24"/>
                <w:szCs w:val="24"/>
                <w:lang w:val="uk-UA"/>
              </w:rPr>
              <w:t xml:space="preserve"> потенційного або реального конфлікту інтересів </w:t>
            </w:r>
          </w:p>
        </w:tc>
        <w:tc>
          <w:tcPr>
            <w:tcW w:w="3828" w:type="dxa"/>
            <w:vAlign w:val="center"/>
          </w:tcPr>
          <w:p w:rsidR="00CE1CDD" w:rsidRPr="00DC373F" w:rsidRDefault="00CE1CDD" w:rsidP="007D65AB">
            <w:pPr>
              <w:tabs>
                <w:tab w:val="left" w:pos="2304"/>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від</w:t>
            </w:r>
            <w:r>
              <w:rPr>
                <w:rFonts w:ascii="Times New Roman" w:hAnsi="Times New Roman" w:cs="Times New Roman"/>
                <w:sz w:val="24"/>
                <w:szCs w:val="24"/>
                <w:lang w:val="uk-UA"/>
              </w:rPr>
              <w:t>кликання/відводу члена тендерного комітету в</w:t>
            </w:r>
            <w:r w:rsidRPr="00DC373F">
              <w:rPr>
                <w:rFonts w:ascii="Times New Roman" w:hAnsi="Times New Roman" w:cs="Times New Roman"/>
                <w:sz w:val="24"/>
                <w:szCs w:val="24"/>
                <w:lang w:val="uk-UA"/>
              </w:rPr>
              <w:t xml:space="preserve"> разі виникнення у н</w:t>
            </w:r>
            <w:r>
              <w:rPr>
                <w:rFonts w:ascii="Times New Roman" w:hAnsi="Times New Roman" w:cs="Times New Roman"/>
                <w:sz w:val="24"/>
                <w:szCs w:val="24"/>
                <w:lang w:val="uk-UA"/>
              </w:rPr>
              <w:t>ього</w:t>
            </w:r>
            <w:r w:rsidRPr="00DC373F">
              <w:rPr>
                <w:rFonts w:ascii="Times New Roman" w:hAnsi="Times New Roman" w:cs="Times New Roman"/>
                <w:sz w:val="24"/>
                <w:szCs w:val="24"/>
                <w:lang w:val="uk-UA"/>
              </w:rPr>
              <w:t xml:space="preserve"> потенційного або реального конфлікту інтересів може призвести до вчинення правопор</w:t>
            </w:r>
            <w:r>
              <w:rPr>
                <w:rFonts w:ascii="Times New Roman" w:hAnsi="Times New Roman" w:cs="Times New Roman"/>
                <w:sz w:val="24"/>
                <w:szCs w:val="24"/>
                <w:lang w:val="uk-UA"/>
              </w:rPr>
              <w:t>ушення, пов’язаного з корупцією</w:t>
            </w:r>
          </w:p>
        </w:tc>
        <w:tc>
          <w:tcPr>
            <w:tcW w:w="4110" w:type="dxa"/>
            <w:vAlign w:val="center"/>
          </w:tcPr>
          <w:p w:rsidR="00CE1CDD" w:rsidRDefault="00CE1CDD" w:rsidP="001C7AB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Відсутність </w:t>
            </w:r>
            <w:r>
              <w:rPr>
                <w:rFonts w:ascii="Times New Roman" w:hAnsi="Times New Roman" w:cs="Times New Roman"/>
                <w:sz w:val="24"/>
                <w:szCs w:val="24"/>
                <w:lang w:val="uk-UA"/>
              </w:rPr>
              <w:t>в</w:t>
            </w:r>
            <w:r w:rsidRPr="00DC373F">
              <w:rPr>
                <w:rFonts w:ascii="Times New Roman" w:hAnsi="Times New Roman" w:cs="Times New Roman"/>
                <w:sz w:val="24"/>
                <w:szCs w:val="24"/>
                <w:lang w:val="uk-UA"/>
              </w:rPr>
              <w:t xml:space="preserve"> </w:t>
            </w:r>
            <w:r>
              <w:rPr>
                <w:rFonts w:ascii="Times New Roman" w:hAnsi="Times New Roman" w:cs="Times New Roman"/>
                <w:sz w:val="24"/>
                <w:szCs w:val="24"/>
                <w:lang w:val="uk-UA"/>
              </w:rPr>
              <w:t>Положенні про тендерний комітет Держкомтелерадіо, затвердженому наказом від 08.04.2016</w:t>
            </w:r>
          </w:p>
          <w:p w:rsidR="00D61DDF" w:rsidRDefault="00CE1CDD" w:rsidP="00D61DDF">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 78</w:t>
            </w:r>
            <w:r w:rsidRPr="00DC373F">
              <w:rPr>
                <w:rFonts w:ascii="Times New Roman" w:hAnsi="Times New Roman" w:cs="Times New Roman"/>
                <w:sz w:val="24"/>
                <w:szCs w:val="24"/>
                <w:lang w:val="uk-UA"/>
              </w:rPr>
              <w:t xml:space="preserve">, положень </w:t>
            </w:r>
            <w:r>
              <w:rPr>
                <w:rFonts w:ascii="Times New Roman" w:hAnsi="Times New Roman" w:cs="Times New Roman"/>
                <w:sz w:val="24"/>
                <w:szCs w:val="24"/>
                <w:lang w:val="uk-UA"/>
              </w:rPr>
              <w:t xml:space="preserve">щодо </w:t>
            </w:r>
            <w:r w:rsidRPr="00DC373F">
              <w:rPr>
                <w:rFonts w:ascii="Times New Roman" w:hAnsi="Times New Roman" w:cs="Times New Roman"/>
                <w:sz w:val="24"/>
                <w:szCs w:val="24"/>
                <w:lang w:val="uk-UA"/>
              </w:rPr>
              <w:t>від</w:t>
            </w:r>
            <w:r>
              <w:rPr>
                <w:rFonts w:ascii="Times New Roman" w:hAnsi="Times New Roman" w:cs="Times New Roman"/>
                <w:sz w:val="24"/>
                <w:szCs w:val="24"/>
                <w:lang w:val="uk-UA"/>
              </w:rPr>
              <w:t>кликання/</w:t>
            </w:r>
          </w:p>
          <w:p w:rsidR="00CE1CDD" w:rsidRDefault="00CE1CDD" w:rsidP="00D61DDF">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відводу члена тендерного комітету в</w:t>
            </w:r>
            <w:r w:rsidRPr="00DC373F">
              <w:rPr>
                <w:rFonts w:ascii="Times New Roman" w:hAnsi="Times New Roman" w:cs="Times New Roman"/>
                <w:sz w:val="24"/>
                <w:szCs w:val="24"/>
                <w:lang w:val="uk-UA"/>
              </w:rPr>
              <w:t xml:space="preserve"> разі виникнення у н</w:t>
            </w:r>
            <w:r>
              <w:rPr>
                <w:rFonts w:ascii="Times New Roman" w:hAnsi="Times New Roman" w:cs="Times New Roman"/>
                <w:sz w:val="24"/>
                <w:szCs w:val="24"/>
                <w:lang w:val="uk-UA"/>
              </w:rPr>
              <w:t>ього</w:t>
            </w:r>
            <w:r w:rsidRPr="00DC373F">
              <w:rPr>
                <w:rFonts w:ascii="Times New Roman" w:hAnsi="Times New Roman" w:cs="Times New Roman"/>
                <w:sz w:val="24"/>
                <w:szCs w:val="24"/>
                <w:lang w:val="uk-UA"/>
              </w:rPr>
              <w:t xml:space="preserve"> потенційного або реального конфлікту інтересів</w:t>
            </w:r>
            <w:r w:rsidR="00D61DDF">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 xml:space="preserve"> </w:t>
            </w:r>
            <w:r w:rsidR="00D61DDF">
              <w:rPr>
                <w:rFonts w:ascii="Times New Roman" w:hAnsi="Times New Roman" w:cs="Times New Roman"/>
                <w:sz w:val="24"/>
                <w:szCs w:val="24"/>
                <w:lang w:val="uk-UA"/>
              </w:rPr>
              <w:t>відсутність процедури розкриття інформації про конфлікт інтересів членами тендерного комітету</w:t>
            </w:r>
            <w:r w:rsidR="00117D42">
              <w:rPr>
                <w:rFonts w:ascii="Times New Roman" w:hAnsi="Times New Roman" w:cs="Times New Roman"/>
                <w:sz w:val="24"/>
                <w:szCs w:val="24"/>
                <w:lang w:val="uk-UA"/>
              </w:rPr>
              <w:t xml:space="preserve"> згідно чинного законодавства</w:t>
            </w:r>
          </w:p>
          <w:p w:rsidR="00117D42" w:rsidRPr="00DC373F" w:rsidRDefault="00117D42" w:rsidP="00D61DDF">
            <w:pPr>
              <w:tabs>
                <w:tab w:val="left" w:pos="2638"/>
              </w:tabs>
              <w:jc w:val="center"/>
              <w:rPr>
                <w:rFonts w:ascii="Times New Roman" w:hAnsi="Times New Roman" w:cs="Times New Roman"/>
                <w:sz w:val="24"/>
                <w:szCs w:val="24"/>
                <w:lang w:val="uk-UA"/>
              </w:rPr>
            </w:pPr>
          </w:p>
        </w:tc>
        <w:tc>
          <w:tcPr>
            <w:tcW w:w="5103" w:type="dxa"/>
            <w:vAlign w:val="center"/>
          </w:tcPr>
          <w:p w:rsidR="00CE1CDD" w:rsidRPr="00DC373F" w:rsidRDefault="00CE1CDD"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Притягнення посадових осіб до відповідальності за порушення вимог щодо запобігання та врегулювання конфлікту інтересів</w:t>
            </w:r>
          </w:p>
        </w:tc>
      </w:tr>
      <w:tr w:rsidR="00CE1CDD" w:rsidRPr="007D65AB" w:rsidTr="0026376D">
        <w:trPr>
          <w:trHeight w:val="239"/>
        </w:trPr>
        <w:tc>
          <w:tcPr>
            <w:tcW w:w="15876" w:type="dxa"/>
            <w:gridSpan w:val="4"/>
            <w:vAlign w:val="center"/>
          </w:tcPr>
          <w:p w:rsidR="00CE1CDD" w:rsidRPr="00C5302F" w:rsidRDefault="00CE1CDD" w:rsidP="00D61DDF">
            <w:pPr>
              <w:pStyle w:val="aa"/>
              <w:numPr>
                <w:ilvl w:val="0"/>
                <w:numId w:val="3"/>
              </w:numPr>
              <w:tabs>
                <w:tab w:val="left" w:pos="2638"/>
              </w:tabs>
              <w:jc w:val="center"/>
              <w:rPr>
                <w:rFonts w:ascii="Times New Roman" w:hAnsi="Times New Roman" w:cs="Times New Roman"/>
                <w:b/>
                <w:sz w:val="28"/>
                <w:szCs w:val="28"/>
                <w:lang w:val="uk-UA"/>
              </w:rPr>
            </w:pPr>
            <w:r w:rsidRPr="00C5302F">
              <w:rPr>
                <w:rFonts w:ascii="Times New Roman" w:hAnsi="Times New Roman" w:cs="Times New Roman"/>
                <w:b/>
                <w:sz w:val="28"/>
                <w:szCs w:val="28"/>
                <w:lang w:val="uk-UA"/>
              </w:rPr>
              <w:lastRenderedPageBreak/>
              <w:t>Управління фінансами</w:t>
            </w:r>
          </w:p>
        </w:tc>
      </w:tr>
      <w:tr w:rsidR="00C5302F" w:rsidRPr="00626C5E" w:rsidTr="00C5302F">
        <w:trPr>
          <w:trHeight w:val="3418"/>
        </w:trPr>
        <w:tc>
          <w:tcPr>
            <w:tcW w:w="2835" w:type="dxa"/>
            <w:vAlign w:val="center"/>
          </w:tcPr>
          <w:p w:rsidR="00C5302F" w:rsidRPr="00DC373F" w:rsidRDefault="00C5302F"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Неврегульованість процедури роботи з укладання договорів без використання електронної системи </w:t>
            </w:r>
            <w:proofErr w:type="spellStart"/>
            <w:r w:rsidRPr="00DC373F">
              <w:rPr>
                <w:rFonts w:ascii="Times New Roman" w:hAnsi="Times New Roman" w:cs="Times New Roman"/>
                <w:sz w:val="24"/>
                <w:szCs w:val="24"/>
                <w:lang w:val="uk-UA"/>
              </w:rPr>
              <w:t>закупівель</w:t>
            </w:r>
            <w:proofErr w:type="spellEnd"/>
            <w:r w:rsidRPr="00DC373F">
              <w:rPr>
                <w:rFonts w:ascii="Times New Roman" w:hAnsi="Times New Roman" w:cs="Times New Roman"/>
                <w:sz w:val="24"/>
                <w:szCs w:val="24"/>
                <w:lang w:val="uk-UA"/>
              </w:rPr>
              <w:t>, за умови</w:t>
            </w:r>
            <w:r>
              <w:rPr>
                <w:rFonts w:ascii="Times New Roman" w:hAnsi="Times New Roman" w:cs="Times New Roman"/>
                <w:sz w:val="24"/>
                <w:szCs w:val="24"/>
                <w:lang w:val="uk-UA"/>
              </w:rPr>
              <w:t>,</w:t>
            </w:r>
            <w:r w:rsidRPr="00DC373F">
              <w:rPr>
                <w:rFonts w:ascii="Times New Roman" w:hAnsi="Times New Roman" w:cs="Times New Roman"/>
                <w:sz w:val="24"/>
                <w:szCs w:val="24"/>
                <w:lang w:val="uk-UA"/>
              </w:rPr>
              <w:t xml:space="preserve"> що вартість предмета закупівлі</w:t>
            </w:r>
          </w:p>
          <w:p w:rsidR="00C5302F" w:rsidRPr="00DC373F" w:rsidRDefault="00C5302F"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 перевищує 200 тисяч гривень</w:t>
            </w:r>
          </w:p>
        </w:tc>
        <w:tc>
          <w:tcPr>
            <w:tcW w:w="3828" w:type="dxa"/>
            <w:vAlign w:val="center"/>
          </w:tcPr>
          <w:p w:rsidR="00C5302F" w:rsidRDefault="00C5302F" w:rsidP="00A54896">
            <w:pPr>
              <w:tabs>
                <w:tab w:val="left" w:pos="2638"/>
              </w:tabs>
              <w:jc w:val="center"/>
              <w:rPr>
                <w:rFonts w:ascii="Times New Roman" w:hAnsi="Times New Roman" w:cs="Times New Roman"/>
                <w:sz w:val="24"/>
                <w:szCs w:val="24"/>
                <w:lang w:val="uk-UA"/>
              </w:rPr>
            </w:pPr>
          </w:p>
          <w:p w:rsidR="00C5302F" w:rsidRPr="00DC373F" w:rsidRDefault="00C5302F"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Неврегульованість процедури роботи з укладання</w:t>
            </w:r>
            <w:r>
              <w:rPr>
                <w:rFonts w:ascii="Times New Roman" w:hAnsi="Times New Roman" w:cs="Times New Roman"/>
                <w:sz w:val="24"/>
                <w:szCs w:val="24"/>
                <w:lang w:val="uk-UA"/>
              </w:rPr>
              <w:t>м</w:t>
            </w:r>
            <w:r w:rsidRPr="00DC373F">
              <w:rPr>
                <w:rFonts w:ascii="Times New Roman" w:hAnsi="Times New Roman" w:cs="Times New Roman"/>
                <w:sz w:val="24"/>
                <w:szCs w:val="24"/>
                <w:lang w:val="uk-UA"/>
              </w:rPr>
              <w:t xml:space="preserve"> договорів без використання електронної системи </w:t>
            </w:r>
            <w:proofErr w:type="spellStart"/>
            <w:r w:rsidRPr="00DC373F">
              <w:rPr>
                <w:rFonts w:ascii="Times New Roman" w:hAnsi="Times New Roman" w:cs="Times New Roman"/>
                <w:sz w:val="24"/>
                <w:szCs w:val="24"/>
                <w:lang w:val="uk-UA"/>
              </w:rPr>
              <w:t>закупівель</w:t>
            </w:r>
            <w:proofErr w:type="spellEnd"/>
            <w:r w:rsidRPr="00DC373F">
              <w:rPr>
                <w:rFonts w:ascii="Times New Roman" w:hAnsi="Times New Roman" w:cs="Times New Roman"/>
                <w:sz w:val="24"/>
                <w:szCs w:val="24"/>
                <w:lang w:val="uk-UA"/>
              </w:rPr>
              <w:t>, за умови що вартість предмета закупівлі</w:t>
            </w:r>
          </w:p>
          <w:p w:rsidR="00C5302F" w:rsidRDefault="00C5302F" w:rsidP="00583941">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не перевищує 200 тисяч гривень  надає можливість посадовим особам здійснювати вказані дії на власний розсуд, що може сприяти вчиненню корупційного чи пов’язаного з корупцією правопорушення</w:t>
            </w:r>
          </w:p>
          <w:p w:rsidR="00C5302F" w:rsidRPr="00DC373F" w:rsidRDefault="00C5302F" w:rsidP="00583941">
            <w:pPr>
              <w:tabs>
                <w:tab w:val="left" w:pos="2638"/>
              </w:tabs>
              <w:jc w:val="center"/>
              <w:rPr>
                <w:rFonts w:ascii="Times New Roman" w:hAnsi="Times New Roman" w:cs="Times New Roman"/>
                <w:sz w:val="24"/>
                <w:szCs w:val="24"/>
                <w:lang w:val="uk-UA"/>
              </w:rPr>
            </w:pPr>
          </w:p>
        </w:tc>
        <w:tc>
          <w:tcPr>
            <w:tcW w:w="4110" w:type="dxa"/>
            <w:vAlign w:val="center"/>
          </w:tcPr>
          <w:p w:rsidR="00C5302F" w:rsidRDefault="00C5302F"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Відсутність порядку</w:t>
            </w:r>
            <w:r>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 xml:space="preserve">здійснення </w:t>
            </w:r>
            <w:proofErr w:type="spellStart"/>
            <w:r w:rsidRPr="00DC373F">
              <w:rPr>
                <w:rFonts w:ascii="Times New Roman" w:hAnsi="Times New Roman" w:cs="Times New Roman"/>
                <w:sz w:val="24"/>
                <w:szCs w:val="24"/>
                <w:lang w:val="uk-UA"/>
              </w:rPr>
              <w:t>закупівель</w:t>
            </w:r>
            <w:proofErr w:type="spellEnd"/>
            <w:r w:rsidRPr="00DC373F">
              <w:rPr>
                <w:rFonts w:ascii="Times New Roman" w:hAnsi="Times New Roman" w:cs="Times New Roman"/>
                <w:sz w:val="24"/>
                <w:szCs w:val="24"/>
                <w:lang w:val="uk-UA"/>
              </w:rPr>
              <w:t xml:space="preserve"> без використання електронної системи </w:t>
            </w:r>
            <w:proofErr w:type="spellStart"/>
            <w:r w:rsidRPr="00DC373F">
              <w:rPr>
                <w:rFonts w:ascii="Times New Roman" w:hAnsi="Times New Roman" w:cs="Times New Roman"/>
                <w:sz w:val="24"/>
                <w:szCs w:val="24"/>
                <w:lang w:val="uk-UA"/>
              </w:rPr>
              <w:t>закупівель</w:t>
            </w:r>
            <w:proofErr w:type="spellEnd"/>
            <w:r w:rsidRPr="00DC373F">
              <w:rPr>
                <w:rFonts w:ascii="Times New Roman" w:hAnsi="Times New Roman" w:cs="Times New Roman"/>
                <w:sz w:val="24"/>
                <w:szCs w:val="24"/>
                <w:lang w:val="uk-UA"/>
              </w:rPr>
              <w:t>, за умови що вартість предмета закупівлі</w:t>
            </w:r>
            <w:r>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rPr>
              <w:t xml:space="preserve">перевищує </w:t>
            </w:r>
          </w:p>
          <w:p w:rsidR="00C5302F" w:rsidRPr="00DC373F" w:rsidRDefault="00C5302F" w:rsidP="00A54896">
            <w:pPr>
              <w:tabs>
                <w:tab w:val="left" w:pos="2638"/>
              </w:tabs>
              <w:jc w:val="center"/>
              <w:rPr>
                <w:rFonts w:ascii="Times New Roman" w:hAnsi="Times New Roman" w:cs="Times New Roman"/>
                <w:b/>
                <w:sz w:val="24"/>
                <w:szCs w:val="24"/>
                <w:lang w:val="uk-UA"/>
              </w:rPr>
            </w:pPr>
            <w:r w:rsidRPr="00DC373F">
              <w:rPr>
                <w:rFonts w:ascii="Times New Roman" w:hAnsi="Times New Roman" w:cs="Times New Roman"/>
                <w:sz w:val="24"/>
                <w:szCs w:val="24"/>
                <w:lang w:val="uk-UA"/>
              </w:rPr>
              <w:t>200 тисяч гривень</w:t>
            </w:r>
          </w:p>
        </w:tc>
        <w:tc>
          <w:tcPr>
            <w:tcW w:w="5103" w:type="dxa"/>
            <w:vAlign w:val="center"/>
          </w:tcPr>
          <w:p w:rsidR="00C5302F" w:rsidRPr="00DC373F" w:rsidRDefault="00C5302F" w:rsidP="009E732F">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 можливі фінансові втрати</w:t>
            </w:r>
          </w:p>
        </w:tc>
      </w:tr>
      <w:tr w:rsidR="00CE1CDD" w:rsidRPr="00DC373F" w:rsidTr="0026376D">
        <w:trPr>
          <w:trHeight w:val="353"/>
        </w:trPr>
        <w:tc>
          <w:tcPr>
            <w:tcW w:w="15876" w:type="dxa"/>
            <w:gridSpan w:val="4"/>
            <w:vAlign w:val="center"/>
          </w:tcPr>
          <w:p w:rsidR="00CE1CDD" w:rsidRPr="00583941" w:rsidRDefault="00CE1CDD" w:rsidP="00583941">
            <w:pPr>
              <w:pStyle w:val="aa"/>
              <w:numPr>
                <w:ilvl w:val="0"/>
                <w:numId w:val="3"/>
              </w:numPr>
              <w:tabs>
                <w:tab w:val="left" w:pos="2638"/>
              </w:tabs>
              <w:jc w:val="center"/>
              <w:rPr>
                <w:rFonts w:ascii="Times New Roman" w:hAnsi="Times New Roman" w:cs="Times New Roman"/>
                <w:sz w:val="24"/>
                <w:szCs w:val="24"/>
                <w:lang w:val="uk-UA"/>
              </w:rPr>
            </w:pPr>
            <w:r w:rsidRPr="00583941">
              <w:rPr>
                <w:rFonts w:ascii="Times New Roman" w:hAnsi="Times New Roman" w:cs="Times New Roman"/>
                <w:b/>
                <w:sz w:val="24"/>
                <w:szCs w:val="24"/>
                <w:lang w:val="uk-UA"/>
              </w:rPr>
              <w:t>Управління ресурсами</w:t>
            </w:r>
          </w:p>
        </w:tc>
      </w:tr>
      <w:tr w:rsidR="00CE1CDD" w:rsidRPr="00626C5E" w:rsidTr="0026376D">
        <w:tc>
          <w:tcPr>
            <w:tcW w:w="2835" w:type="dxa"/>
            <w:vAlign w:val="center"/>
          </w:tcPr>
          <w:p w:rsidR="00CE1CDD" w:rsidRPr="00DC373F" w:rsidRDefault="00CE1CDD" w:rsidP="00611C6F">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врегульованої процедури щодо списання майна, що тимчасово не використовується</w:t>
            </w:r>
          </w:p>
        </w:tc>
        <w:tc>
          <w:tcPr>
            <w:tcW w:w="3828" w:type="dxa"/>
            <w:vAlign w:val="center"/>
          </w:tcPr>
          <w:p w:rsidR="00C5302F" w:rsidRDefault="00C5302F" w:rsidP="00583941">
            <w:pPr>
              <w:tabs>
                <w:tab w:val="left" w:pos="2304"/>
              </w:tabs>
              <w:jc w:val="center"/>
              <w:rPr>
                <w:rFonts w:ascii="Times New Roman" w:hAnsi="Times New Roman" w:cs="Times New Roman"/>
                <w:sz w:val="24"/>
                <w:szCs w:val="24"/>
                <w:lang w:val="uk-UA"/>
              </w:rPr>
            </w:pPr>
          </w:p>
          <w:p w:rsidR="00CE1CDD" w:rsidRDefault="00CE1CDD" w:rsidP="00583941">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процедури та порядку щодо списання майна, що тимчасово не використовується </w:t>
            </w:r>
            <w:r w:rsidRPr="00070768">
              <w:rPr>
                <w:rFonts w:ascii="Times New Roman" w:hAnsi="Times New Roman" w:cs="Times New Roman"/>
                <w:sz w:val="24"/>
                <w:szCs w:val="24"/>
                <w:lang w:val="uk-UA"/>
              </w:rPr>
              <w:t xml:space="preserve">може спонукати посадових осіб </w:t>
            </w:r>
            <w:r w:rsidRPr="00DC373F">
              <w:rPr>
                <w:rFonts w:ascii="Times New Roman" w:hAnsi="Times New Roman" w:cs="Times New Roman"/>
                <w:sz w:val="24"/>
                <w:szCs w:val="24"/>
                <w:lang w:val="uk-UA" w:eastAsia="ru-RU"/>
              </w:rPr>
              <w:t>до зловживань відповідними повноваженнями, у тому числі з метою отримання неправомірної вигоди</w:t>
            </w:r>
            <w:r w:rsidRPr="00070768">
              <w:rPr>
                <w:rFonts w:ascii="Times New Roman" w:hAnsi="Times New Roman" w:cs="Times New Roman"/>
                <w:sz w:val="24"/>
                <w:szCs w:val="24"/>
                <w:lang w:val="uk-UA"/>
              </w:rPr>
              <w:t xml:space="preserve"> чи пов’язаного з корупцією правопорушення</w:t>
            </w:r>
          </w:p>
          <w:p w:rsidR="00C5302F" w:rsidRPr="00DC373F" w:rsidRDefault="00C5302F" w:rsidP="00583941">
            <w:pPr>
              <w:tabs>
                <w:tab w:val="left" w:pos="2304"/>
              </w:tabs>
              <w:jc w:val="center"/>
              <w:rPr>
                <w:rFonts w:ascii="Times New Roman" w:hAnsi="Times New Roman" w:cs="Times New Roman"/>
                <w:sz w:val="24"/>
                <w:szCs w:val="24"/>
                <w:lang w:val="uk-UA"/>
              </w:rPr>
            </w:pPr>
          </w:p>
        </w:tc>
        <w:tc>
          <w:tcPr>
            <w:tcW w:w="4110" w:type="dxa"/>
            <w:vAlign w:val="center"/>
          </w:tcPr>
          <w:p w:rsidR="00CE1CDD" w:rsidRPr="00DC373F" w:rsidRDefault="00CE1CDD" w:rsidP="00611C6F">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процедури та порядку щодо списання майна, що тимчасово не використовується </w:t>
            </w:r>
          </w:p>
        </w:tc>
        <w:tc>
          <w:tcPr>
            <w:tcW w:w="5103" w:type="dxa"/>
            <w:vAlign w:val="center"/>
          </w:tcPr>
          <w:p w:rsidR="00CE1CDD" w:rsidRPr="00DC373F" w:rsidRDefault="00CE1CDD" w:rsidP="00A54896">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посадових осіб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w:t>
            </w:r>
            <w:r w:rsidR="00583941">
              <w:rPr>
                <w:rFonts w:ascii="Times New Roman" w:hAnsi="Times New Roman" w:cs="Times New Roman"/>
                <w:sz w:val="24"/>
                <w:szCs w:val="24"/>
                <w:lang w:val="uk-UA"/>
              </w:rPr>
              <w:t xml:space="preserve">можливі </w:t>
            </w:r>
            <w:r w:rsidRPr="00DC373F">
              <w:rPr>
                <w:rFonts w:ascii="Times New Roman" w:hAnsi="Times New Roman" w:cs="Times New Roman"/>
                <w:sz w:val="24"/>
                <w:szCs w:val="24"/>
                <w:lang w:val="uk-UA"/>
              </w:rPr>
              <w:t xml:space="preserve">судові процеси проти </w:t>
            </w:r>
            <w:r>
              <w:rPr>
                <w:rFonts w:ascii="Times New Roman" w:hAnsi="Times New Roman" w:cs="Times New Roman"/>
                <w:sz w:val="24"/>
                <w:szCs w:val="24"/>
                <w:lang w:val="uk-UA"/>
              </w:rPr>
              <w:t>Держкомтелерадіо</w:t>
            </w:r>
            <w:r w:rsidR="00583941">
              <w:rPr>
                <w:rFonts w:ascii="Times New Roman" w:hAnsi="Times New Roman" w:cs="Times New Roman"/>
                <w:sz w:val="24"/>
                <w:szCs w:val="24"/>
                <w:lang w:val="uk-UA"/>
              </w:rPr>
              <w:t xml:space="preserve"> та фінансові втрати</w:t>
            </w:r>
          </w:p>
        </w:tc>
      </w:tr>
      <w:tr w:rsidR="00CE1CDD" w:rsidRPr="00626C5E" w:rsidTr="0026376D">
        <w:tc>
          <w:tcPr>
            <w:tcW w:w="2835" w:type="dxa"/>
            <w:vAlign w:val="center"/>
          </w:tcPr>
          <w:p w:rsidR="00CE1CDD" w:rsidRPr="00DC373F" w:rsidRDefault="00CE1CDD" w:rsidP="00DA0175">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відповідальності за нецільове використання матеріальних ресурсів</w:t>
            </w:r>
          </w:p>
        </w:tc>
        <w:tc>
          <w:tcPr>
            <w:tcW w:w="3828" w:type="dxa"/>
            <w:vAlign w:val="center"/>
          </w:tcPr>
          <w:p w:rsidR="00064A14" w:rsidRDefault="00CE1CDD" w:rsidP="00064A14">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w:t>
            </w:r>
            <w:r w:rsidR="00583941">
              <w:rPr>
                <w:rFonts w:ascii="Times New Roman" w:hAnsi="Times New Roman" w:cs="Times New Roman"/>
                <w:sz w:val="24"/>
                <w:szCs w:val="24"/>
                <w:lang w:val="uk-UA"/>
              </w:rPr>
              <w:t xml:space="preserve">чітко визначеної </w:t>
            </w:r>
            <w:r>
              <w:rPr>
                <w:rFonts w:ascii="Times New Roman" w:hAnsi="Times New Roman" w:cs="Times New Roman"/>
                <w:sz w:val="24"/>
                <w:szCs w:val="24"/>
                <w:lang w:val="uk-UA"/>
              </w:rPr>
              <w:t>відповідальності за нецільове використання матеріальних ресурсів</w:t>
            </w:r>
            <w:r w:rsidRPr="00070768">
              <w:rPr>
                <w:rFonts w:ascii="Times New Roman" w:hAnsi="Times New Roman" w:cs="Times New Roman"/>
                <w:sz w:val="24"/>
                <w:szCs w:val="24"/>
                <w:lang w:val="uk-UA"/>
              </w:rPr>
              <w:t xml:space="preserve"> може спонукати посадових осіб до вчиненню корупційного чи пов’язаного з корупцією правопорушення</w:t>
            </w:r>
          </w:p>
          <w:p w:rsidR="00C5302F" w:rsidRPr="00DC373F" w:rsidRDefault="00C5302F" w:rsidP="00064A14">
            <w:pPr>
              <w:tabs>
                <w:tab w:val="left" w:pos="2304"/>
              </w:tabs>
              <w:jc w:val="center"/>
              <w:rPr>
                <w:rFonts w:ascii="Times New Roman" w:hAnsi="Times New Roman" w:cs="Times New Roman"/>
                <w:sz w:val="24"/>
                <w:szCs w:val="24"/>
                <w:lang w:val="uk-UA"/>
              </w:rPr>
            </w:pPr>
          </w:p>
        </w:tc>
        <w:tc>
          <w:tcPr>
            <w:tcW w:w="4110" w:type="dxa"/>
            <w:vAlign w:val="center"/>
          </w:tcPr>
          <w:p w:rsidR="00CE1CDD" w:rsidRPr="00DC373F" w:rsidRDefault="00CE1CDD" w:rsidP="008064D8">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в посадових інструкціях працівників Держкомтелерадіо відповідальності за нецільове використання матеріальних ресурсів</w:t>
            </w:r>
          </w:p>
        </w:tc>
        <w:tc>
          <w:tcPr>
            <w:tcW w:w="5103" w:type="dxa"/>
            <w:vAlign w:val="center"/>
          </w:tcPr>
          <w:p w:rsidR="00CE1CDD" w:rsidRPr="00DC373F" w:rsidRDefault="00CE1CDD" w:rsidP="008064D8">
            <w:pPr>
              <w:tabs>
                <w:tab w:val="left" w:pos="2638"/>
              </w:tabs>
              <w:jc w:val="center"/>
              <w:rPr>
                <w:rFonts w:ascii="Times New Roman" w:hAnsi="Times New Roman" w:cs="Times New Roman"/>
                <w:sz w:val="24"/>
                <w:szCs w:val="24"/>
                <w:lang w:val="uk-UA"/>
              </w:rPr>
            </w:pPr>
            <w:r w:rsidRPr="00DC373F">
              <w:rPr>
                <w:rFonts w:ascii="Times New Roman" w:hAnsi="Times New Roman" w:cs="Times New Roman"/>
                <w:sz w:val="24"/>
                <w:szCs w:val="24"/>
                <w:lang w:val="uk-UA"/>
              </w:rPr>
              <w:t xml:space="preserve">Притягнення </w:t>
            </w:r>
            <w:r>
              <w:rPr>
                <w:rFonts w:ascii="Times New Roman" w:hAnsi="Times New Roman" w:cs="Times New Roman"/>
                <w:sz w:val="24"/>
                <w:szCs w:val="24"/>
                <w:lang w:val="uk-UA"/>
              </w:rPr>
              <w:t>працівників</w:t>
            </w:r>
            <w:r w:rsidRPr="00DC373F">
              <w:rPr>
                <w:rFonts w:ascii="Times New Roman" w:hAnsi="Times New Roman" w:cs="Times New Roman"/>
                <w:sz w:val="24"/>
                <w:szCs w:val="24"/>
                <w:lang w:val="uk-UA"/>
              </w:rPr>
              <w:t xml:space="preserve">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w:t>
            </w:r>
            <w:r w:rsidR="00583941">
              <w:rPr>
                <w:rFonts w:ascii="Times New Roman" w:hAnsi="Times New Roman" w:cs="Times New Roman"/>
                <w:sz w:val="24"/>
                <w:szCs w:val="24"/>
                <w:lang w:val="uk-UA"/>
              </w:rPr>
              <w:t xml:space="preserve">можливі </w:t>
            </w:r>
            <w:r w:rsidRPr="00DC373F">
              <w:rPr>
                <w:rFonts w:ascii="Times New Roman" w:hAnsi="Times New Roman" w:cs="Times New Roman"/>
                <w:sz w:val="24"/>
                <w:szCs w:val="24"/>
                <w:lang w:val="uk-UA"/>
              </w:rPr>
              <w:t xml:space="preserve">судові процеси проти </w:t>
            </w:r>
            <w:r>
              <w:rPr>
                <w:rFonts w:ascii="Times New Roman" w:hAnsi="Times New Roman" w:cs="Times New Roman"/>
                <w:sz w:val="24"/>
                <w:szCs w:val="24"/>
                <w:lang w:val="uk-UA"/>
              </w:rPr>
              <w:t>Держкомтелерадіо</w:t>
            </w:r>
            <w:r w:rsidR="00583941">
              <w:rPr>
                <w:rFonts w:ascii="Times New Roman" w:hAnsi="Times New Roman" w:cs="Times New Roman"/>
                <w:sz w:val="24"/>
                <w:szCs w:val="24"/>
                <w:lang w:val="uk-UA"/>
              </w:rPr>
              <w:t xml:space="preserve"> та фінансові втрати</w:t>
            </w:r>
          </w:p>
        </w:tc>
      </w:tr>
      <w:tr w:rsidR="00CE1CDD" w:rsidRPr="00DC373F" w:rsidTr="0026376D">
        <w:tc>
          <w:tcPr>
            <w:tcW w:w="15876" w:type="dxa"/>
            <w:gridSpan w:val="4"/>
            <w:vAlign w:val="center"/>
          </w:tcPr>
          <w:p w:rsidR="00CE1CDD" w:rsidRPr="00C5302F" w:rsidRDefault="00CE1CDD" w:rsidP="00583941">
            <w:pPr>
              <w:pStyle w:val="aa"/>
              <w:numPr>
                <w:ilvl w:val="0"/>
                <w:numId w:val="3"/>
              </w:numPr>
              <w:tabs>
                <w:tab w:val="left" w:pos="2638"/>
              </w:tabs>
              <w:jc w:val="center"/>
              <w:rPr>
                <w:rFonts w:ascii="Times New Roman" w:hAnsi="Times New Roman" w:cs="Times New Roman"/>
                <w:b/>
                <w:sz w:val="28"/>
                <w:szCs w:val="28"/>
                <w:lang w:val="uk-UA"/>
              </w:rPr>
            </w:pPr>
            <w:r w:rsidRPr="00C5302F">
              <w:rPr>
                <w:rFonts w:ascii="Times New Roman" w:hAnsi="Times New Roman" w:cs="Times New Roman"/>
                <w:b/>
                <w:sz w:val="28"/>
                <w:szCs w:val="28"/>
                <w:lang w:val="uk-UA"/>
              </w:rPr>
              <w:lastRenderedPageBreak/>
              <w:t xml:space="preserve">Управління об’єктами державної власності </w:t>
            </w:r>
          </w:p>
        </w:tc>
      </w:tr>
      <w:tr w:rsidR="00064A14" w:rsidRPr="00502420" w:rsidTr="0026376D">
        <w:trPr>
          <w:trHeight w:val="3312"/>
        </w:trPr>
        <w:tc>
          <w:tcPr>
            <w:tcW w:w="2835" w:type="dxa"/>
            <w:vAlign w:val="center"/>
          </w:tcPr>
          <w:p w:rsidR="00064A14" w:rsidRPr="00583941" w:rsidRDefault="00064A14" w:rsidP="00502420">
            <w:pPr>
              <w:pStyle w:val="aa"/>
              <w:tabs>
                <w:tab w:val="left" w:pos="2638"/>
              </w:tabs>
              <w:ind w:left="-142"/>
              <w:jc w:val="center"/>
              <w:rPr>
                <w:rFonts w:ascii="Times New Roman" w:hAnsi="Times New Roman" w:cs="Times New Roman"/>
                <w:b/>
                <w:sz w:val="24"/>
                <w:szCs w:val="24"/>
                <w:lang w:val="uk-UA"/>
              </w:rPr>
            </w:pPr>
            <w:r>
              <w:rPr>
                <w:rFonts w:ascii="Times New Roman" w:hAnsi="Times New Roman" w:cs="Times New Roman"/>
                <w:sz w:val="24"/>
                <w:szCs w:val="24"/>
                <w:lang w:val="uk-UA"/>
              </w:rPr>
              <w:t>Відсутність врегульованої процедури повідомлення керівником</w:t>
            </w:r>
          </w:p>
          <w:p w:rsidR="00064A14" w:rsidRPr="00583941" w:rsidRDefault="00064A14" w:rsidP="002843F4">
            <w:pPr>
              <w:tabs>
                <w:tab w:val="left" w:pos="2304"/>
              </w:tabs>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підприємства сфери управління Держкомтелерадіо про наявність </w:t>
            </w:r>
            <w:r w:rsidR="00CA43A6">
              <w:rPr>
                <w:rFonts w:ascii="Times New Roman" w:hAnsi="Times New Roman" w:cs="Times New Roman"/>
                <w:sz w:val="24"/>
                <w:szCs w:val="24"/>
                <w:lang w:val="uk-UA"/>
              </w:rPr>
              <w:t xml:space="preserve">на підприємстві </w:t>
            </w:r>
            <w:r>
              <w:rPr>
                <w:rFonts w:ascii="Times New Roman" w:hAnsi="Times New Roman" w:cs="Times New Roman"/>
                <w:sz w:val="24"/>
                <w:szCs w:val="24"/>
                <w:lang w:val="uk-UA"/>
              </w:rPr>
              <w:t>державного майна, що тимчасово не використовується</w:t>
            </w:r>
          </w:p>
        </w:tc>
        <w:tc>
          <w:tcPr>
            <w:tcW w:w="3828" w:type="dxa"/>
            <w:vAlign w:val="center"/>
          </w:tcPr>
          <w:p w:rsidR="00064A14" w:rsidRPr="00583941" w:rsidRDefault="00064A14" w:rsidP="00502420">
            <w:pPr>
              <w:pStyle w:val="aa"/>
              <w:tabs>
                <w:tab w:val="left" w:pos="2638"/>
              </w:tabs>
              <w:ind w:left="-108"/>
              <w:jc w:val="center"/>
              <w:rPr>
                <w:rFonts w:ascii="Times New Roman" w:hAnsi="Times New Roman" w:cs="Times New Roman"/>
                <w:b/>
                <w:sz w:val="24"/>
                <w:szCs w:val="24"/>
                <w:lang w:val="uk-UA"/>
              </w:rPr>
            </w:pPr>
            <w:r>
              <w:rPr>
                <w:rFonts w:ascii="Times New Roman" w:hAnsi="Times New Roman" w:cs="Times New Roman"/>
                <w:sz w:val="24"/>
                <w:szCs w:val="24"/>
                <w:lang w:val="uk-UA"/>
              </w:rPr>
              <w:t>Відсутність врегульованої процедури повідомлення керівником підприємства сфери управління Держкомтелерадіо про наявність державного</w:t>
            </w:r>
          </w:p>
          <w:p w:rsidR="00064A14" w:rsidRPr="00583941" w:rsidRDefault="00064A14" w:rsidP="00502420">
            <w:pPr>
              <w:tabs>
                <w:tab w:val="left" w:pos="2304"/>
              </w:tabs>
              <w:jc w:val="center"/>
              <w:rPr>
                <w:rFonts w:ascii="Times New Roman" w:hAnsi="Times New Roman" w:cs="Times New Roman"/>
                <w:b/>
                <w:sz w:val="24"/>
                <w:szCs w:val="24"/>
                <w:lang w:val="uk-UA"/>
              </w:rPr>
            </w:pPr>
            <w:r>
              <w:rPr>
                <w:rFonts w:ascii="Times New Roman" w:hAnsi="Times New Roman" w:cs="Times New Roman"/>
                <w:sz w:val="24"/>
                <w:szCs w:val="24"/>
                <w:lang w:val="uk-UA"/>
              </w:rPr>
              <w:t>майна, що тимчасово не використовується</w:t>
            </w:r>
            <w:r w:rsidRPr="00070768">
              <w:rPr>
                <w:rFonts w:ascii="Times New Roman" w:hAnsi="Times New Roman" w:cs="Times New Roman"/>
                <w:sz w:val="24"/>
                <w:szCs w:val="24"/>
                <w:lang w:val="uk-UA"/>
              </w:rPr>
              <w:t xml:space="preserve"> може спонукати </w:t>
            </w:r>
            <w:r>
              <w:rPr>
                <w:rFonts w:ascii="Times New Roman" w:hAnsi="Times New Roman" w:cs="Times New Roman"/>
                <w:sz w:val="24"/>
                <w:szCs w:val="24"/>
                <w:lang w:val="uk-UA"/>
              </w:rPr>
              <w:t>його</w:t>
            </w:r>
            <w:r w:rsidRPr="00070768">
              <w:rPr>
                <w:rFonts w:ascii="Times New Roman" w:hAnsi="Times New Roman" w:cs="Times New Roman"/>
                <w:sz w:val="24"/>
                <w:szCs w:val="24"/>
                <w:lang w:val="uk-UA"/>
              </w:rPr>
              <w:t xml:space="preserve"> </w:t>
            </w:r>
            <w:r w:rsidRPr="00DC373F">
              <w:rPr>
                <w:rFonts w:ascii="Times New Roman" w:hAnsi="Times New Roman" w:cs="Times New Roman"/>
                <w:sz w:val="24"/>
                <w:szCs w:val="24"/>
                <w:lang w:val="uk-UA" w:eastAsia="ru-RU"/>
              </w:rPr>
              <w:t>до зловживань відповідними повноваженнями, у тому числі з метою отримання неправомірної вигоди</w:t>
            </w:r>
          </w:p>
        </w:tc>
        <w:tc>
          <w:tcPr>
            <w:tcW w:w="4110" w:type="dxa"/>
            <w:vAlign w:val="center"/>
          </w:tcPr>
          <w:p w:rsidR="00064A14" w:rsidRPr="00583941" w:rsidRDefault="00064A14" w:rsidP="00502420">
            <w:pPr>
              <w:pStyle w:val="aa"/>
              <w:tabs>
                <w:tab w:val="left" w:pos="2638"/>
              </w:tabs>
              <w:ind w:left="-108"/>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Відсутність у Типовій формі контракту з керівником підвідомчого підприємства, затвердженого наказом від 22.02.2012    </w:t>
            </w:r>
          </w:p>
          <w:p w:rsidR="00064A14" w:rsidRPr="00583941" w:rsidRDefault="00064A14" w:rsidP="00502420">
            <w:pPr>
              <w:tabs>
                <w:tab w:val="left" w:pos="2304"/>
              </w:tabs>
              <w:jc w:val="center"/>
              <w:rPr>
                <w:rFonts w:ascii="Times New Roman" w:hAnsi="Times New Roman" w:cs="Times New Roman"/>
                <w:b/>
                <w:sz w:val="24"/>
                <w:szCs w:val="24"/>
                <w:lang w:val="uk-UA"/>
              </w:rPr>
            </w:pPr>
            <w:r>
              <w:rPr>
                <w:rFonts w:ascii="Times New Roman" w:hAnsi="Times New Roman" w:cs="Times New Roman"/>
                <w:sz w:val="24"/>
                <w:szCs w:val="24"/>
                <w:lang w:val="uk-UA"/>
              </w:rPr>
              <w:t>№ 46, інформації про спосіб повідомлення органу управління державним майном керівником підприємства про наявність на підприємстві державного майна, що тимчасово не використовується</w:t>
            </w:r>
          </w:p>
        </w:tc>
        <w:tc>
          <w:tcPr>
            <w:tcW w:w="5103" w:type="dxa"/>
            <w:vAlign w:val="center"/>
          </w:tcPr>
          <w:p w:rsidR="00064A14" w:rsidRPr="00583941" w:rsidRDefault="00064A14" w:rsidP="00502420">
            <w:pPr>
              <w:pStyle w:val="aa"/>
              <w:tabs>
                <w:tab w:val="left" w:pos="2638"/>
              </w:tabs>
              <w:ind w:left="-108"/>
              <w:jc w:val="center"/>
              <w:rPr>
                <w:rFonts w:ascii="Times New Roman" w:hAnsi="Times New Roman" w:cs="Times New Roman"/>
                <w:b/>
                <w:sz w:val="24"/>
                <w:szCs w:val="24"/>
                <w:lang w:val="uk-UA"/>
              </w:rPr>
            </w:pPr>
            <w:r w:rsidRPr="00DC373F">
              <w:rPr>
                <w:rFonts w:ascii="Times New Roman" w:hAnsi="Times New Roman" w:cs="Times New Roman"/>
                <w:sz w:val="24"/>
                <w:szCs w:val="24"/>
                <w:lang w:val="uk-UA"/>
              </w:rPr>
              <w:t xml:space="preserve">Притягнення </w:t>
            </w:r>
            <w:r>
              <w:rPr>
                <w:rFonts w:ascii="Times New Roman" w:hAnsi="Times New Roman" w:cs="Times New Roman"/>
                <w:sz w:val="24"/>
                <w:szCs w:val="24"/>
                <w:lang w:val="uk-UA"/>
              </w:rPr>
              <w:t>працівників</w:t>
            </w:r>
            <w:r w:rsidRPr="00DC373F">
              <w:rPr>
                <w:rFonts w:ascii="Times New Roman" w:hAnsi="Times New Roman" w:cs="Times New Roman"/>
                <w:sz w:val="24"/>
                <w:szCs w:val="24"/>
                <w:lang w:val="uk-UA"/>
              </w:rPr>
              <w:t xml:space="preserve"> до відповідальності, втрата репутації </w:t>
            </w:r>
            <w:r>
              <w:rPr>
                <w:rFonts w:ascii="Times New Roman" w:hAnsi="Times New Roman" w:cs="Times New Roman"/>
                <w:sz w:val="24"/>
                <w:szCs w:val="24"/>
                <w:lang w:val="uk-UA"/>
              </w:rPr>
              <w:t>Держкомтелерадіо</w:t>
            </w:r>
            <w:r w:rsidRPr="00DC373F">
              <w:rPr>
                <w:rFonts w:ascii="Times New Roman" w:hAnsi="Times New Roman" w:cs="Times New Roman"/>
                <w:sz w:val="24"/>
                <w:szCs w:val="24"/>
                <w:lang w:val="uk-UA"/>
              </w:rPr>
              <w:t xml:space="preserve">, судові процеси проти </w:t>
            </w:r>
            <w:r>
              <w:rPr>
                <w:rFonts w:ascii="Times New Roman" w:hAnsi="Times New Roman" w:cs="Times New Roman"/>
                <w:sz w:val="24"/>
                <w:szCs w:val="24"/>
                <w:lang w:val="uk-UA"/>
              </w:rPr>
              <w:t>Держкомтелерадіо</w:t>
            </w:r>
          </w:p>
        </w:tc>
      </w:tr>
    </w:tbl>
    <w:p w:rsidR="0012518E" w:rsidRDefault="0012518E" w:rsidP="0012518E">
      <w:pPr>
        <w:pStyle w:val="aa"/>
        <w:jc w:val="both"/>
        <w:rPr>
          <w:rFonts w:ascii="Times New Roman" w:hAnsi="Times New Roman"/>
          <w:b/>
          <w:sz w:val="28"/>
          <w:lang w:val="uk-UA"/>
        </w:rPr>
      </w:pPr>
      <w:r>
        <w:rPr>
          <w:rFonts w:ascii="Times New Roman" w:hAnsi="Times New Roman"/>
          <w:b/>
          <w:sz w:val="28"/>
          <w:lang w:val="uk-UA"/>
        </w:rPr>
        <w:t xml:space="preserve">          </w:t>
      </w:r>
    </w:p>
    <w:p w:rsidR="0012518E" w:rsidRPr="0012518E" w:rsidRDefault="0012518E" w:rsidP="0012518E">
      <w:pPr>
        <w:pStyle w:val="aa"/>
        <w:jc w:val="both"/>
        <w:rPr>
          <w:b/>
          <w:sz w:val="28"/>
          <w:szCs w:val="28"/>
          <w:lang w:val="uk-UA"/>
        </w:rPr>
      </w:pPr>
      <w:r>
        <w:rPr>
          <w:rFonts w:ascii="Times New Roman" w:hAnsi="Times New Roman"/>
          <w:b/>
          <w:sz w:val="28"/>
          <w:lang w:val="uk-UA"/>
        </w:rPr>
        <w:t xml:space="preserve">Секретар </w:t>
      </w:r>
      <w:r w:rsidRPr="0012518E">
        <w:rPr>
          <w:rFonts w:ascii="Times New Roman" w:hAnsi="Times New Roman" w:cs="Times New Roman"/>
          <w:b/>
          <w:sz w:val="28"/>
          <w:szCs w:val="28"/>
          <w:lang w:val="uk-UA"/>
        </w:rPr>
        <w:t>Комісії з оцінки корупційних</w:t>
      </w:r>
      <w:r w:rsidRPr="0012518E">
        <w:rPr>
          <w:b/>
          <w:sz w:val="28"/>
          <w:szCs w:val="28"/>
          <w:lang w:val="uk-UA"/>
        </w:rPr>
        <w:t xml:space="preserve"> </w:t>
      </w:r>
    </w:p>
    <w:p w:rsidR="00273239" w:rsidRPr="00D63324" w:rsidRDefault="0012518E" w:rsidP="0012518E">
      <w:pPr>
        <w:tabs>
          <w:tab w:val="left" w:pos="2638"/>
        </w:tabs>
        <w:spacing w:after="0"/>
        <w:ind w:hanging="426"/>
        <w:rPr>
          <w:rFonts w:ascii="Times New Roman" w:hAnsi="Times New Roman" w:cs="Times New Roman"/>
          <w:sz w:val="28"/>
          <w:lang w:val="uk-UA"/>
        </w:rPr>
      </w:pPr>
      <w:r>
        <w:rPr>
          <w:rFonts w:ascii="Times New Roman" w:hAnsi="Times New Roman"/>
          <w:b/>
          <w:sz w:val="28"/>
          <w:szCs w:val="28"/>
          <w:lang w:val="uk-UA"/>
        </w:rPr>
        <w:t xml:space="preserve">                 </w:t>
      </w:r>
      <w:r w:rsidRPr="00666534">
        <w:rPr>
          <w:rFonts w:ascii="Times New Roman" w:hAnsi="Times New Roman" w:cs="Times New Roman"/>
          <w:b/>
          <w:sz w:val="28"/>
          <w:szCs w:val="28"/>
          <w:lang w:val="uk-UA"/>
        </w:rPr>
        <w:t xml:space="preserve">ризиків Держкомтелерадіо      </w:t>
      </w:r>
      <w:r>
        <w:rPr>
          <w:rFonts w:ascii="Times New Roman" w:hAnsi="Times New Roman"/>
          <w:b/>
          <w:sz w:val="28"/>
          <w:szCs w:val="28"/>
          <w:lang w:val="uk-UA"/>
        </w:rPr>
        <w:t xml:space="preserve">          </w:t>
      </w:r>
      <w:r w:rsidRPr="00666534">
        <w:rPr>
          <w:rFonts w:ascii="Times New Roman" w:hAnsi="Times New Roman" w:cs="Times New Roman"/>
          <w:b/>
          <w:sz w:val="28"/>
          <w:lang w:val="uk-UA"/>
        </w:rPr>
        <w:t xml:space="preserve">                                                                                             </w:t>
      </w:r>
      <w:r>
        <w:rPr>
          <w:rFonts w:ascii="Times New Roman" w:hAnsi="Times New Roman"/>
          <w:b/>
          <w:sz w:val="28"/>
          <w:lang w:val="uk-UA"/>
        </w:rPr>
        <w:t>В.І. Семенюк</w:t>
      </w:r>
    </w:p>
    <w:sectPr w:rsidR="00273239" w:rsidRPr="00D63324" w:rsidSect="00F26F31">
      <w:headerReference w:type="default" r:id="rId8"/>
      <w:pgSz w:w="16838" w:h="11906" w:orient="landscape"/>
      <w:pgMar w:top="851"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D6" w:rsidRDefault="002F4CD6" w:rsidP="001A00A2">
      <w:pPr>
        <w:spacing w:after="0" w:line="240" w:lineRule="auto"/>
      </w:pPr>
      <w:r>
        <w:separator/>
      </w:r>
    </w:p>
  </w:endnote>
  <w:endnote w:type="continuationSeparator" w:id="0">
    <w:p w:rsidR="002F4CD6" w:rsidRDefault="002F4CD6" w:rsidP="001A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D6" w:rsidRDefault="002F4CD6" w:rsidP="001A00A2">
      <w:pPr>
        <w:spacing w:after="0" w:line="240" w:lineRule="auto"/>
      </w:pPr>
      <w:r>
        <w:separator/>
      </w:r>
    </w:p>
  </w:footnote>
  <w:footnote w:type="continuationSeparator" w:id="0">
    <w:p w:rsidR="002F4CD6" w:rsidRDefault="002F4CD6" w:rsidP="001A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31301"/>
      <w:docPartObj>
        <w:docPartGallery w:val="Page Numbers (Top of Page)"/>
        <w:docPartUnique/>
      </w:docPartObj>
    </w:sdtPr>
    <w:sdtEndPr>
      <w:rPr>
        <w:rFonts w:ascii="Times New Roman" w:hAnsi="Times New Roman" w:cs="Times New Roman"/>
        <w:sz w:val="20"/>
        <w:szCs w:val="20"/>
      </w:rPr>
    </w:sdtEndPr>
    <w:sdtContent>
      <w:p w:rsidR="00EF6ABF" w:rsidRPr="00A337F6" w:rsidRDefault="009829FF">
        <w:pPr>
          <w:pStyle w:val="a4"/>
          <w:jc w:val="center"/>
          <w:rPr>
            <w:rFonts w:ascii="Times New Roman" w:hAnsi="Times New Roman" w:cs="Times New Roman"/>
            <w:sz w:val="20"/>
            <w:szCs w:val="20"/>
          </w:rPr>
        </w:pPr>
        <w:r w:rsidRPr="00A337F6">
          <w:rPr>
            <w:rFonts w:ascii="Times New Roman" w:hAnsi="Times New Roman" w:cs="Times New Roman"/>
            <w:sz w:val="20"/>
            <w:szCs w:val="20"/>
          </w:rPr>
          <w:fldChar w:fldCharType="begin"/>
        </w:r>
        <w:r w:rsidR="00EF6ABF" w:rsidRPr="00A337F6">
          <w:rPr>
            <w:rFonts w:ascii="Times New Roman" w:hAnsi="Times New Roman" w:cs="Times New Roman"/>
            <w:sz w:val="20"/>
            <w:szCs w:val="20"/>
          </w:rPr>
          <w:instrText>PAGE   \* MERGEFORMAT</w:instrText>
        </w:r>
        <w:r w:rsidRPr="00A337F6">
          <w:rPr>
            <w:rFonts w:ascii="Times New Roman" w:hAnsi="Times New Roman" w:cs="Times New Roman"/>
            <w:sz w:val="20"/>
            <w:szCs w:val="20"/>
          </w:rPr>
          <w:fldChar w:fldCharType="separate"/>
        </w:r>
        <w:r w:rsidR="006F4138">
          <w:rPr>
            <w:rFonts w:ascii="Times New Roman" w:hAnsi="Times New Roman" w:cs="Times New Roman"/>
            <w:noProof/>
            <w:sz w:val="20"/>
            <w:szCs w:val="20"/>
          </w:rPr>
          <w:t>6</w:t>
        </w:r>
        <w:r w:rsidRPr="00A337F6">
          <w:rPr>
            <w:rFonts w:ascii="Times New Roman" w:hAnsi="Times New Roman" w:cs="Times New Roman"/>
            <w:sz w:val="20"/>
            <w:szCs w:val="20"/>
          </w:rPr>
          <w:fldChar w:fldCharType="end"/>
        </w:r>
      </w:p>
    </w:sdtContent>
  </w:sdt>
  <w:p w:rsidR="00EF6ABF" w:rsidRDefault="00EF6A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D0D"/>
    <w:multiLevelType w:val="hybridMultilevel"/>
    <w:tmpl w:val="311A27AC"/>
    <w:lvl w:ilvl="0" w:tplc="4322D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F2978"/>
    <w:multiLevelType w:val="hybridMultilevel"/>
    <w:tmpl w:val="4622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3D7CC9"/>
    <w:multiLevelType w:val="hybridMultilevel"/>
    <w:tmpl w:val="305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0F"/>
    <w:rsid w:val="000137DB"/>
    <w:rsid w:val="00015C77"/>
    <w:rsid w:val="00024152"/>
    <w:rsid w:val="00050200"/>
    <w:rsid w:val="00064A14"/>
    <w:rsid w:val="00070768"/>
    <w:rsid w:val="00070EBE"/>
    <w:rsid w:val="00081A91"/>
    <w:rsid w:val="000A35AF"/>
    <w:rsid w:val="000C600C"/>
    <w:rsid w:val="000E1A45"/>
    <w:rsid w:val="000E7F6C"/>
    <w:rsid w:val="000F3588"/>
    <w:rsid w:val="000F450E"/>
    <w:rsid w:val="00116BFB"/>
    <w:rsid w:val="00117D42"/>
    <w:rsid w:val="00124147"/>
    <w:rsid w:val="0012518E"/>
    <w:rsid w:val="00152C1C"/>
    <w:rsid w:val="0016070A"/>
    <w:rsid w:val="001639C2"/>
    <w:rsid w:val="00171EF6"/>
    <w:rsid w:val="00175C9F"/>
    <w:rsid w:val="00177D7F"/>
    <w:rsid w:val="00192371"/>
    <w:rsid w:val="001A00A2"/>
    <w:rsid w:val="001C7AB8"/>
    <w:rsid w:val="00205144"/>
    <w:rsid w:val="0021101E"/>
    <w:rsid w:val="002219B8"/>
    <w:rsid w:val="002228D8"/>
    <w:rsid w:val="00223433"/>
    <w:rsid w:val="00250795"/>
    <w:rsid w:val="00256818"/>
    <w:rsid w:val="002615EC"/>
    <w:rsid w:val="0026376D"/>
    <w:rsid w:val="002641B7"/>
    <w:rsid w:val="00273239"/>
    <w:rsid w:val="0027530D"/>
    <w:rsid w:val="002843F4"/>
    <w:rsid w:val="002B19B2"/>
    <w:rsid w:val="002C106D"/>
    <w:rsid w:val="002C1FD5"/>
    <w:rsid w:val="002D0414"/>
    <w:rsid w:val="002F4CD6"/>
    <w:rsid w:val="003042DF"/>
    <w:rsid w:val="00307B3E"/>
    <w:rsid w:val="003129AA"/>
    <w:rsid w:val="00333CF9"/>
    <w:rsid w:val="0033434B"/>
    <w:rsid w:val="003508DD"/>
    <w:rsid w:val="0035458A"/>
    <w:rsid w:val="00363A71"/>
    <w:rsid w:val="00364F2B"/>
    <w:rsid w:val="00366291"/>
    <w:rsid w:val="00381601"/>
    <w:rsid w:val="003A0F6D"/>
    <w:rsid w:val="003C06F2"/>
    <w:rsid w:val="003C6317"/>
    <w:rsid w:val="003C76BE"/>
    <w:rsid w:val="003D4B92"/>
    <w:rsid w:val="00410933"/>
    <w:rsid w:val="004141D6"/>
    <w:rsid w:val="00420320"/>
    <w:rsid w:val="00431A63"/>
    <w:rsid w:val="00435A48"/>
    <w:rsid w:val="0045150F"/>
    <w:rsid w:val="00451FCE"/>
    <w:rsid w:val="004738BA"/>
    <w:rsid w:val="004E0E73"/>
    <w:rsid w:val="004E18EF"/>
    <w:rsid w:val="004E32BC"/>
    <w:rsid w:val="004E48DD"/>
    <w:rsid w:val="004E6078"/>
    <w:rsid w:val="00502420"/>
    <w:rsid w:val="005042ED"/>
    <w:rsid w:val="00514B5E"/>
    <w:rsid w:val="00550DF6"/>
    <w:rsid w:val="005579E5"/>
    <w:rsid w:val="00576690"/>
    <w:rsid w:val="00583941"/>
    <w:rsid w:val="00586E5C"/>
    <w:rsid w:val="005D13CF"/>
    <w:rsid w:val="005D3D68"/>
    <w:rsid w:val="00606304"/>
    <w:rsid w:val="00611C6F"/>
    <w:rsid w:val="00626C5E"/>
    <w:rsid w:val="006328DA"/>
    <w:rsid w:val="006344D4"/>
    <w:rsid w:val="0064706A"/>
    <w:rsid w:val="006477FD"/>
    <w:rsid w:val="006737C1"/>
    <w:rsid w:val="00680D03"/>
    <w:rsid w:val="00690FFF"/>
    <w:rsid w:val="006A5933"/>
    <w:rsid w:val="006B04E6"/>
    <w:rsid w:val="006E165A"/>
    <w:rsid w:val="006F1F93"/>
    <w:rsid w:val="006F4138"/>
    <w:rsid w:val="00721E82"/>
    <w:rsid w:val="007373A2"/>
    <w:rsid w:val="00741E3B"/>
    <w:rsid w:val="007536E3"/>
    <w:rsid w:val="00757529"/>
    <w:rsid w:val="00770DAF"/>
    <w:rsid w:val="007804EE"/>
    <w:rsid w:val="00784090"/>
    <w:rsid w:val="007B1A12"/>
    <w:rsid w:val="007D148D"/>
    <w:rsid w:val="007D4CE5"/>
    <w:rsid w:val="007D65AB"/>
    <w:rsid w:val="00801A7F"/>
    <w:rsid w:val="00803837"/>
    <w:rsid w:val="008064D8"/>
    <w:rsid w:val="00815C05"/>
    <w:rsid w:val="008227C0"/>
    <w:rsid w:val="0082628A"/>
    <w:rsid w:val="00841B1C"/>
    <w:rsid w:val="00861C5B"/>
    <w:rsid w:val="00877911"/>
    <w:rsid w:val="00880012"/>
    <w:rsid w:val="00896A78"/>
    <w:rsid w:val="008A3055"/>
    <w:rsid w:val="008A53A2"/>
    <w:rsid w:val="008B7615"/>
    <w:rsid w:val="008C1AF4"/>
    <w:rsid w:val="008C63F9"/>
    <w:rsid w:val="008D4BFA"/>
    <w:rsid w:val="008F13F9"/>
    <w:rsid w:val="00920509"/>
    <w:rsid w:val="009227E0"/>
    <w:rsid w:val="0093733E"/>
    <w:rsid w:val="009475BD"/>
    <w:rsid w:val="00960B85"/>
    <w:rsid w:val="009767BF"/>
    <w:rsid w:val="00977CDF"/>
    <w:rsid w:val="009800E1"/>
    <w:rsid w:val="00980A70"/>
    <w:rsid w:val="009829FF"/>
    <w:rsid w:val="009A001A"/>
    <w:rsid w:val="009B02DA"/>
    <w:rsid w:val="009B156E"/>
    <w:rsid w:val="009B5097"/>
    <w:rsid w:val="009C39B7"/>
    <w:rsid w:val="009D2DC7"/>
    <w:rsid w:val="009D404F"/>
    <w:rsid w:val="009E732F"/>
    <w:rsid w:val="00A11815"/>
    <w:rsid w:val="00A229F9"/>
    <w:rsid w:val="00A323FD"/>
    <w:rsid w:val="00A337F6"/>
    <w:rsid w:val="00A54896"/>
    <w:rsid w:val="00A55467"/>
    <w:rsid w:val="00A67347"/>
    <w:rsid w:val="00A94990"/>
    <w:rsid w:val="00AC5811"/>
    <w:rsid w:val="00AE0093"/>
    <w:rsid w:val="00AF154D"/>
    <w:rsid w:val="00B047A9"/>
    <w:rsid w:val="00B0710E"/>
    <w:rsid w:val="00B24466"/>
    <w:rsid w:val="00B406A6"/>
    <w:rsid w:val="00B57BDF"/>
    <w:rsid w:val="00B754CE"/>
    <w:rsid w:val="00B76B8C"/>
    <w:rsid w:val="00B90E0C"/>
    <w:rsid w:val="00B978B0"/>
    <w:rsid w:val="00BA09BA"/>
    <w:rsid w:val="00BA7663"/>
    <w:rsid w:val="00BC55B4"/>
    <w:rsid w:val="00BD5684"/>
    <w:rsid w:val="00C00460"/>
    <w:rsid w:val="00C045EE"/>
    <w:rsid w:val="00C177C4"/>
    <w:rsid w:val="00C22CEC"/>
    <w:rsid w:val="00C37C23"/>
    <w:rsid w:val="00C5302F"/>
    <w:rsid w:val="00C557AA"/>
    <w:rsid w:val="00C63396"/>
    <w:rsid w:val="00C65039"/>
    <w:rsid w:val="00C7791F"/>
    <w:rsid w:val="00C9221B"/>
    <w:rsid w:val="00CA43A6"/>
    <w:rsid w:val="00CA5304"/>
    <w:rsid w:val="00CD4ACA"/>
    <w:rsid w:val="00CE1CDD"/>
    <w:rsid w:val="00CF3583"/>
    <w:rsid w:val="00D01814"/>
    <w:rsid w:val="00D0771E"/>
    <w:rsid w:val="00D13077"/>
    <w:rsid w:val="00D21575"/>
    <w:rsid w:val="00D4676B"/>
    <w:rsid w:val="00D50D08"/>
    <w:rsid w:val="00D57B4D"/>
    <w:rsid w:val="00D61DDF"/>
    <w:rsid w:val="00D63324"/>
    <w:rsid w:val="00DA0175"/>
    <w:rsid w:val="00DB40B6"/>
    <w:rsid w:val="00DC373F"/>
    <w:rsid w:val="00DD1B5A"/>
    <w:rsid w:val="00DE62F2"/>
    <w:rsid w:val="00E11587"/>
    <w:rsid w:val="00E91F1D"/>
    <w:rsid w:val="00E9432A"/>
    <w:rsid w:val="00E94F23"/>
    <w:rsid w:val="00EA5921"/>
    <w:rsid w:val="00EC0D19"/>
    <w:rsid w:val="00EC2029"/>
    <w:rsid w:val="00EC44F3"/>
    <w:rsid w:val="00EC6BD6"/>
    <w:rsid w:val="00ED4E8D"/>
    <w:rsid w:val="00ED6BEE"/>
    <w:rsid w:val="00ED7157"/>
    <w:rsid w:val="00EE2428"/>
    <w:rsid w:val="00EF1E22"/>
    <w:rsid w:val="00EF6ABF"/>
    <w:rsid w:val="00F10198"/>
    <w:rsid w:val="00F26F31"/>
    <w:rsid w:val="00F427B6"/>
    <w:rsid w:val="00F63A87"/>
    <w:rsid w:val="00F91BF4"/>
    <w:rsid w:val="00FA4EF9"/>
    <w:rsid w:val="00FB4938"/>
    <w:rsid w:val="00FC316E"/>
    <w:rsid w:val="00FC5CDC"/>
    <w:rsid w:val="00FE3324"/>
    <w:rsid w:val="00FF5C6A"/>
    <w:rsid w:val="00FF69D5"/>
    <w:rsid w:val="00FF7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0A2"/>
  </w:style>
  <w:style w:type="paragraph" w:styleId="a6">
    <w:name w:val="footer"/>
    <w:basedOn w:val="a"/>
    <w:link w:val="a7"/>
    <w:uiPriority w:val="99"/>
    <w:unhideWhenUsed/>
    <w:rsid w:val="001A0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0A2"/>
  </w:style>
  <w:style w:type="paragraph" w:styleId="a8">
    <w:name w:val="Balloon Text"/>
    <w:basedOn w:val="a"/>
    <w:link w:val="a9"/>
    <w:uiPriority w:val="99"/>
    <w:semiHidden/>
    <w:unhideWhenUsed/>
    <w:rsid w:val="001A00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00A2"/>
    <w:rPr>
      <w:rFonts w:ascii="Segoe UI" w:hAnsi="Segoe UI" w:cs="Segoe UI"/>
      <w:sz w:val="18"/>
      <w:szCs w:val="18"/>
    </w:rPr>
  </w:style>
  <w:style w:type="character" w:customStyle="1" w:styleId="apple-converted-space">
    <w:name w:val="apple-converted-space"/>
    <w:basedOn w:val="a0"/>
    <w:rsid w:val="005D13CF"/>
  </w:style>
  <w:style w:type="paragraph" w:styleId="aa">
    <w:name w:val="List Paragraph"/>
    <w:basedOn w:val="a"/>
    <w:uiPriority w:val="34"/>
    <w:qFormat/>
    <w:rsid w:val="00C9221B"/>
    <w:pPr>
      <w:ind w:left="720"/>
      <w:contextualSpacing/>
    </w:pPr>
  </w:style>
  <w:style w:type="character" w:customStyle="1" w:styleId="spelle">
    <w:name w:val="spelle"/>
    <w:basedOn w:val="a0"/>
    <w:rsid w:val="00070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0A2"/>
  </w:style>
  <w:style w:type="paragraph" w:styleId="a6">
    <w:name w:val="footer"/>
    <w:basedOn w:val="a"/>
    <w:link w:val="a7"/>
    <w:uiPriority w:val="99"/>
    <w:unhideWhenUsed/>
    <w:rsid w:val="001A0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0A2"/>
  </w:style>
  <w:style w:type="paragraph" w:styleId="a8">
    <w:name w:val="Balloon Text"/>
    <w:basedOn w:val="a"/>
    <w:link w:val="a9"/>
    <w:uiPriority w:val="99"/>
    <w:semiHidden/>
    <w:unhideWhenUsed/>
    <w:rsid w:val="001A00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00A2"/>
    <w:rPr>
      <w:rFonts w:ascii="Segoe UI" w:hAnsi="Segoe UI" w:cs="Segoe UI"/>
      <w:sz w:val="18"/>
      <w:szCs w:val="18"/>
    </w:rPr>
  </w:style>
  <w:style w:type="character" w:customStyle="1" w:styleId="apple-converted-space">
    <w:name w:val="apple-converted-space"/>
    <w:basedOn w:val="a0"/>
    <w:rsid w:val="005D13CF"/>
  </w:style>
  <w:style w:type="paragraph" w:styleId="aa">
    <w:name w:val="List Paragraph"/>
    <w:basedOn w:val="a"/>
    <w:uiPriority w:val="34"/>
    <w:qFormat/>
    <w:rsid w:val="00C9221B"/>
    <w:pPr>
      <w:ind w:left="720"/>
      <w:contextualSpacing/>
    </w:pPr>
  </w:style>
  <w:style w:type="character" w:customStyle="1" w:styleId="spelle">
    <w:name w:val="spelle"/>
    <w:basedOn w:val="a0"/>
    <w:rsid w:val="0007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6641</Words>
  <Characters>3786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2017-03-20T08:09:00Z</cp:lastPrinted>
  <dcterms:created xsi:type="dcterms:W3CDTF">2017-04-14T10:21:00Z</dcterms:created>
  <dcterms:modified xsi:type="dcterms:W3CDTF">2017-04-14T10:21:00Z</dcterms:modified>
</cp:coreProperties>
</file>