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38" w:rsidRPr="0075029E" w:rsidRDefault="00616638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A7D8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16638" w:rsidRPr="00DC1E77" w:rsidRDefault="00616638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616638" w:rsidRPr="00DC1E77" w:rsidRDefault="00AB4B45" w:rsidP="008C6A3B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B618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05F7" w:rsidRPr="004B61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3344" w:rsidRPr="004B61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6638" w:rsidRPr="004B6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5D8" w:rsidRPr="004B6189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CE1D99" w:rsidRPr="004B618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679BD" w:rsidRPr="004B618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D25D8" w:rsidRPr="004B61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79BD" w:rsidRPr="004B6189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DD25D8" w:rsidRPr="004B618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16638" w:rsidRPr="004B6189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проведення конкурсу на посаду </w:t>
      </w:r>
      <w:r w:rsidR="00CE1D99" w:rsidRPr="00CE1D9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8A7D8B" w:rsidRPr="008A7D8B">
        <w:rPr>
          <w:rFonts w:ascii="Times New Roman" w:hAnsi="Times New Roman" w:cs="Times New Roman"/>
          <w:sz w:val="28"/>
          <w:szCs w:val="28"/>
          <w:lang w:val="uk-UA"/>
        </w:rPr>
        <w:t>відділу матеріально-технічного забезпечення, охорони праці та пожежної безпеки адміністративно-господарського управління</w:t>
      </w:r>
      <w:r w:rsidR="008A7D8B"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t>Державного комітету телебачення і радіомовлення України</w:t>
      </w:r>
    </w:p>
    <w:p w:rsidR="00616638" w:rsidRPr="00DC1E77" w:rsidRDefault="00616638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"/>
        <w:gridCol w:w="4110"/>
        <w:gridCol w:w="10650"/>
      </w:tblGrid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4B6189" w:rsidRPr="00C93250">
        <w:tc>
          <w:tcPr>
            <w:tcW w:w="4687" w:type="dxa"/>
            <w:gridSpan w:val="2"/>
            <w:vAlign w:val="center"/>
          </w:tcPr>
          <w:p w:rsidR="004B6189" w:rsidRPr="00DC1E77" w:rsidRDefault="004B6189" w:rsidP="001B7A4B">
            <w:pPr>
              <w:pStyle w:val="rvps14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господарських питань щодо забезпечення діяльності працівників Апарату та належного утримання (експлуатації) комунальних систем (комунікацій) в приміщеннях Апарату (створення сприятливих умов для роботи працівників Апарату та забезпеч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якісн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сезонн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експлуатаці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устаткування, теплових і електротехнічних мереж в приміщеннях Апарату та підтримку у робочому стані наявних засобів зв’язку (телефонної мережі) і ліфту);</w:t>
            </w:r>
          </w:p>
          <w:p w:rsidR="001C7957" w:rsidRPr="004B6189" w:rsidRDefault="001C7957" w:rsidP="001C7957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в робот</w:t>
            </w:r>
            <w:r w:rsidR="003A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Держкомтелерадіо новітніх інформаційних технологій, електронних інформаційних систем, та сучасної офісної техніки;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структурних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ідрозділів Апарату необхідним обладнанням та матеріально-технічними засобами;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загальнодержавних та галузевих заходів (програм), спрямованих на забезпечення дотримання в Апараті та на підвідомчих організаціях вимог законів України «Про охорону праці», «Про страховий фонд документації України», Кодексу цивільного захисту України (інших нормативно-правових актів у вказаних сферах діяльності);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збереження та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 наявних в Апараті матеріальних цінностей;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комплектування і встановлення обладнання та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іально-технічних засобів, засобів зв’язку на робочих місцях працівників Апарату;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видачі працівникам Апарату матеріальних цінностей (під розпис у відповідних облікових журналах, відомостях, тощо) та передача підвідомчим організаціям (у разі необхідності) обладнання та матеріально-технічних засобів,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інших матеріальних цінностей;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за належною експлуатацією працівниками Апарату обладнання та матеріально-технічних засобів, засобів зв’язку та економним використанням паперу, копіювально-розмножувальних картриджів, інших матеріальних цінностей;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(у межах граничних сум витрат)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оперативного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ремонту (гарантійний, пост-гарантійний, регламентно-профілактичне технічне обслуговування) наявного в Апараті обладнання та матеріально-технічних засобів, факсів та інших засобів зв’язку;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пропозицій (розробка відповідних документів) щодо укладання договорів на виконання робіт, надання послуг (щодо ремонту та технічного обслуговування) і придбання (у межах граничних сум витрат) необхідного в роботі працівників Апарату обладнання та матеріально-технічних засобів, інших матеріальних цінностей;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інвентаризації основних засобів, нематеріальних активів, товарно-матеріальних цінностей, грошових коштів і документів та розрахунків (із перевіркою їх фактичної наявності за місцем знаходження та інвентарними номерами; документального підтвердження, оформлення, у разі необхідності, актів технічного обстеження матеріальних цінностей (основних засобів) спланованих на списання);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списання основних засобі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інших необоротних матеріальних активів і запасів (надання актів що стосуються списання матеріальних цінностей в них зазначених);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господарського утримання, обслуговування та підтримк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належному стані приміщень Апарату (службових кабінетів, технічних приміщень та при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міщень загального користування)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капітального </w:t>
            </w:r>
            <w:r w:rsidR="003A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ремонту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поточних ремонтних робіт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іщеннях Апарату (організ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вказаних ремонтних робіт та контрол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виконання);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своєчасного оформлення та подання відповідних договірних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зобов’язань до комунальних установ міста: </w:t>
            </w:r>
            <w:proofErr w:type="spell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Київтеплоенерго</w:t>
            </w:r>
            <w:proofErr w:type="spell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АТ «Акціонерна компанія «</w:t>
            </w:r>
            <w:proofErr w:type="spell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Київводоканал</w:t>
            </w:r>
            <w:proofErr w:type="spell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ПАТ «ОТІС» (щодо, водопостачання, водовідведення, технічного обслуговування ліфту) та </w:t>
            </w:r>
            <w:proofErr w:type="spell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Київкомунсервіс</w:t>
            </w:r>
            <w:proofErr w:type="spell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(щодо вивозу твердих побутових відходів). Здійснення контролю щодо належного виконання вказаних договорів;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своєчасного та санкціонованого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ідключення приміщень Апарату до опалення в зимовий період;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роботою в приміщеннях Апарату систем опалення, водопостачання, електричних мереж, ліфту (забезпечувати проведення ремонтних робіт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їх пошкодження або виходу з ладу);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проекту пропозицій щодо бюджетних запитів Держкомтелерадіо до Закону України «Про державний бюджет України» (на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ідставі пропозицій, наданих структурними підрозділами Управління, склада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кошторис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господарських витрат та придбання матеріальних цінностей для потреб Апарату);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забезпеченні роботи тендерного комітету Держкомтелерадіо (в частині, що стосується надання пропозицій до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ічного плану державних закупівель Держкомтелерадіо (внесення змін і доповнень до цього плану) та доведення необхідних показників за напрямами господарської діяльності);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реалізації в Держкомтелерадіо державної політики в галузі охорони праці, спрямованої на створення для працівників Апарату та на підвідомчих організаціях належних, безпечних і здорових умов праці, запобігання нещасних випадків та професійних захворювань;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Комплексного плану заходів щодо охорони праці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Держкомтелерадіо та (галузевих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нормативн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спрямован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поліпшення стану безпеки, гі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ієни праці та виробничого середовища;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1C80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E01C80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додержанням в Держкомтелерадіо (та безпосередньо в Апараті) встановлених вимог щодо охорони праці;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ведення обліку нещасних випадків, професійних захворювань і аварій в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Апараті та на підвідомчих організаціях (участь у проведенні розслідувань причин їх виникнення та розроб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недопущення подібного в подальшому);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реалізації в Держкомтелерадіо визначеного Правилами пожежної безпеки в Україні протипожежного режиму;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proofErr w:type="spell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Загальнооб’єктової</w:t>
            </w:r>
            <w:proofErr w:type="spell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інструкції, Комплексного плану заходів із запобігання пожеж в Держкомтелерадіо та інших документів з питань протипожежного захисту;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додержанням в Держкомтелерадіо (та безпосередньо в Апараті) встановлених вимог щодо пожежної безпеки (своєчасн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відповідним органам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пожежного нагляду). Спільно з керівниками структурних підрозділів забезпеч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утримання приміщень Апарату відповідно до вимог правил пожежної безпеки;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ведення обліку пожеж та їх наслідків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Апараті та на підвідомчих організаціях (участь у проведенні розслідувань причин їх виникнення та розробляти пропозиції щодо недопущення подібного в подальшому);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проведення </w:t>
            </w:r>
            <w:proofErr w:type="spell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опосвідчення</w:t>
            </w:r>
            <w:proofErr w:type="spell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безпечного стану наявних в Апараті електроустановок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перевірок робочого стану протипожежного інвентарю і засобів пожеж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гасіння;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частині, що стосується Держкомтелерадіо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загальнодержавн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галузев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цивільного захисту; 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визначених завдань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Спеціалізованій службі зв’язку та оповіщення;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консультацій керівникам структурних 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ідрозділів Апарату з питань охорони праці, пожежної безпеки, цивільного захисту та формування страхового фонду документів;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проведення (господарське обслуговування) засідань колегії Держкомтелерадіо, апаратних нарад, прийомів офіційних делегацій та інших визначених керівництвом Держкомтелерадіо заходів;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заходів спрямован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недопущення порушень правил пропуску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відвідувачі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приміщень Апарату та несанкціонованого виносу (вивозу) матеріальних цінностей, що знаходяться у власності Держкомтелерадіо;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пропозицій до планів роботи Управління (за напрямами діяльност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ідділу) та складання щомісячних планів роботи Відділу;</w:t>
            </w:r>
          </w:p>
          <w:p w:rsidR="001C7957" w:rsidRPr="004B6189" w:rsidRDefault="001C7957" w:rsidP="001C7957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проектів нормативно-правових актів з питань, що належать до компетенц</w:t>
            </w:r>
            <w:proofErr w:type="gramStart"/>
            <w:r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В</w:t>
            </w:r>
            <w:proofErr w:type="gramEnd"/>
            <w:r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ідділу, проводити фахову експертизу проектів таких актів;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контролю за якісним і своєчасним виконанням покладених на</w:t>
            </w:r>
            <w:proofErr w:type="gramStart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завдань;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1C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обліку використання робочого часу працівниками Відділу та нада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начальнику Управління стосовно щорічних відпусток працівників Відділу;</w:t>
            </w:r>
          </w:p>
          <w:p w:rsidR="004B6189" w:rsidRPr="004B6189" w:rsidRDefault="002D7201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2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належного зберігання документів і справ, які знаходяться на відпрацюванні у Відділі, здійсн</w:t>
            </w:r>
            <w:r w:rsidR="00E01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 w:rsidR="001C7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складанням номенклатури справ Відділу та описів справ під час їхньої підготовки до передачі у архів Держкомтелерадіо;</w:t>
            </w:r>
          </w:p>
          <w:p w:rsidR="004B6189" w:rsidRPr="004B6189" w:rsidRDefault="00E01C80" w:rsidP="004B6189">
            <w:pPr>
              <w:pStyle w:val="aa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4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6189" w:rsidRPr="004B6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виконанні покладених на Держкомтелерадіо мобілізаційних завдань</w:t>
            </w:r>
          </w:p>
        </w:tc>
      </w:tr>
      <w:tr w:rsidR="004B6189" w:rsidRPr="00DC1E77">
        <w:tc>
          <w:tcPr>
            <w:tcW w:w="4687" w:type="dxa"/>
            <w:gridSpan w:val="2"/>
            <w:vAlign w:val="center"/>
          </w:tcPr>
          <w:p w:rsidR="004B6189" w:rsidRPr="00DC1E77" w:rsidRDefault="004B6189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50" w:type="dxa"/>
          </w:tcPr>
          <w:p w:rsidR="004B6189" w:rsidRPr="00DC1E77" w:rsidRDefault="004B6189" w:rsidP="004B6189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1FE6">
              <w:rPr>
                <w:rFonts w:ascii="Times New Roman" w:hAnsi="Times New Roman" w:cs="Times New Roman"/>
                <w:sz w:val="28"/>
                <w:szCs w:val="28"/>
              </w:rPr>
              <w:t>00 грн.;</w:t>
            </w:r>
          </w:p>
          <w:p w:rsidR="004B6189" w:rsidRPr="00DC1E77" w:rsidRDefault="004B6189" w:rsidP="004B6189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вислугу років, надбавка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ранг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державного службовця;</w:t>
            </w:r>
          </w:p>
          <w:p w:rsidR="004B6189" w:rsidRPr="00DA36D8" w:rsidRDefault="004B6189" w:rsidP="004B6189">
            <w:pPr>
              <w:pStyle w:val="a5"/>
              <w:spacing w:after="0" w:line="240" w:lineRule="atLeast"/>
              <w:ind w:left="57" w:right="113" w:firstLine="0"/>
            </w:pPr>
            <w:r w:rsidRPr="00DC1E77">
              <w:rPr>
                <w:rFonts w:ascii="Times New Roman" w:hAnsi="Times New Roman" w:cs="Times New Roman"/>
              </w:rPr>
              <w:t>доплати та премії (відповідно до статті 52 Закону України «Про державну службу»)</w:t>
            </w:r>
          </w:p>
        </w:tc>
      </w:tr>
      <w:tr w:rsidR="004B6189" w:rsidRPr="00DC1E77">
        <w:tc>
          <w:tcPr>
            <w:tcW w:w="4687" w:type="dxa"/>
            <w:gridSpan w:val="2"/>
            <w:vAlign w:val="center"/>
          </w:tcPr>
          <w:p w:rsidR="004B6189" w:rsidRPr="00DC1E77" w:rsidRDefault="004B6189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4B6189" w:rsidRPr="00DC1E77" w:rsidRDefault="004B6189" w:rsidP="004A2F35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троков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призначення</w:t>
            </w:r>
          </w:p>
        </w:tc>
      </w:tr>
      <w:tr w:rsidR="004B6189" w:rsidRPr="00DC1E77">
        <w:tc>
          <w:tcPr>
            <w:tcW w:w="4687" w:type="dxa"/>
            <w:gridSpan w:val="2"/>
            <w:vAlign w:val="center"/>
          </w:tcPr>
          <w:p w:rsidR="004B6189" w:rsidRPr="00DC1E77" w:rsidRDefault="004B6189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4B6189" w:rsidRPr="00DC1E77" w:rsidRDefault="004B6189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4B6189" w:rsidRPr="00DC1E77" w:rsidRDefault="004B6189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n72"/>
            <w:bookmarkEnd w:id="0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зайняття посади</w:t>
            </w:r>
            <w:r w:rsidRPr="007C6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 якої додається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резюме у довільній формі;</w:t>
            </w:r>
          </w:p>
          <w:p w:rsidR="004B6189" w:rsidRPr="00DC1E77" w:rsidRDefault="004B6189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73"/>
            <w:bookmarkEnd w:id="1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частиною </w:t>
            </w:r>
            <w:hyperlink r:id="rId7" w:anchor="n13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hyperlink r:id="rId8" w:anchor="n14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очищення влади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та надає згоду на проходження перевірки та оприлюднення відомостей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стосовно неї відповідно до зазначеного Закону;</w:t>
            </w:r>
          </w:p>
          <w:p w:rsidR="004B6189" w:rsidRPr="00DC1E77" w:rsidRDefault="004B6189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4"/>
            <w:bookmarkEnd w:id="2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4B6189" w:rsidRPr="00DC1E77" w:rsidRDefault="004B6189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4B6189" w:rsidRPr="00DC1E77" w:rsidRDefault="004B6189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5"/>
            <w:bookmarkStart w:id="4" w:name="n76"/>
            <w:bookmarkEnd w:id="3"/>
            <w:bookmarkEnd w:id="4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4B6189" w:rsidRDefault="004B6189" w:rsidP="0058569A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5" w:name="n77"/>
            <w:bookmarkStart w:id="6" w:name="n78"/>
            <w:bookmarkEnd w:id="5"/>
            <w:bookmarkEnd w:id="6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агентства з питань запобігання корупції (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nazk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4B6189" w:rsidRPr="0058569A" w:rsidRDefault="004B6189" w:rsidP="0058569A">
            <w:pPr>
              <w:spacing w:before="60" w:after="0" w:line="240" w:lineRule="auto"/>
              <w:ind w:left="57" w:right="113" w:firstLine="1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 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B6189" w:rsidRDefault="004B6189" w:rsidP="00500872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 2019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за адресою 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Прорізна, 2,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  <w:p w:rsidR="004B6189" w:rsidRPr="000061BC" w:rsidRDefault="004B6189" w:rsidP="00500872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189" w:rsidRPr="00DC1E77">
        <w:tc>
          <w:tcPr>
            <w:tcW w:w="4687" w:type="dxa"/>
            <w:gridSpan w:val="2"/>
            <w:vAlign w:val="center"/>
          </w:tcPr>
          <w:p w:rsidR="004B6189" w:rsidRDefault="004B6189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  <w:p w:rsidR="006968D8" w:rsidRPr="00DC1E77" w:rsidRDefault="006968D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0" w:type="dxa"/>
          </w:tcPr>
          <w:p w:rsidR="004B6189" w:rsidRPr="00DC1E77" w:rsidRDefault="004B6189" w:rsidP="00F93F41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лютого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F31">
              <w:rPr>
                <w:rFonts w:ascii="Times New Roman" w:hAnsi="Times New Roman" w:cs="Times New Roman"/>
                <w:sz w:val="28"/>
                <w:szCs w:val="28"/>
              </w:rPr>
              <w:t>року о  10</w:t>
            </w:r>
            <w:r w:rsidR="00F93F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EE7F31">
              <w:rPr>
                <w:rFonts w:ascii="Times New Roman" w:hAnsi="Times New Roman" w:cs="Times New Roman"/>
                <w:sz w:val="28"/>
                <w:szCs w:val="28"/>
              </w:rPr>
              <w:t xml:space="preserve">  за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адресою: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вул. Прорізна, 2,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. 609</w:t>
            </w:r>
          </w:p>
        </w:tc>
      </w:tr>
      <w:tr w:rsidR="004B6189" w:rsidRPr="00DC1E77">
        <w:tc>
          <w:tcPr>
            <w:tcW w:w="4687" w:type="dxa"/>
            <w:gridSpan w:val="2"/>
            <w:vAlign w:val="center"/>
          </w:tcPr>
          <w:p w:rsidR="006968D8" w:rsidRPr="00DC1E77" w:rsidRDefault="004B6189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4B6189" w:rsidRPr="00DC1E77" w:rsidRDefault="004B6189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4B6189" w:rsidRPr="00DC1E77" w:rsidRDefault="004B6189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6189" w:rsidRPr="00DC1E77">
        <w:tc>
          <w:tcPr>
            <w:tcW w:w="15337" w:type="dxa"/>
            <w:gridSpan w:val="3"/>
          </w:tcPr>
          <w:p w:rsidR="004B6189" w:rsidRPr="00DC1E77" w:rsidRDefault="004B6189" w:rsidP="00C92325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4B6189" w:rsidRPr="006D3543">
        <w:tc>
          <w:tcPr>
            <w:tcW w:w="577" w:type="dxa"/>
          </w:tcPr>
          <w:p w:rsidR="004B6189" w:rsidRPr="00DC1E77" w:rsidRDefault="004B6189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B6189" w:rsidRPr="00DC1E77" w:rsidRDefault="004B6189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4B6189" w:rsidRPr="00D179CC" w:rsidRDefault="004B6189" w:rsidP="004B6189">
            <w:pPr>
              <w:pStyle w:val="a4"/>
              <w:spacing w:before="60" w:beforeAutospacing="0" w:after="120" w:afterAutospacing="0"/>
              <w:ind w:lef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F35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ступінь вищої освіти не нижче магістра </w:t>
            </w:r>
          </w:p>
        </w:tc>
      </w:tr>
      <w:tr w:rsidR="004B6189" w:rsidRPr="00DC1E77">
        <w:tc>
          <w:tcPr>
            <w:tcW w:w="577" w:type="dxa"/>
          </w:tcPr>
          <w:p w:rsidR="004B6189" w:rsidRPr="00DC1E77" w:rsidRDefault="004B6189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B6189" w:rsidRPr="00DC1E77" w:rsidRDefault="004B6189" w:rsidP="00B2731C">
            <w:pPr>
              <w:pStyle w:val="rvps14"/>
              <w:ind w:left="57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4B6189" w:rsidRPr="00D91B57" w:rsidRDefault="004B6189" w:rsidP="00D91B57">
            <w:pPr>
              <w:pStyle w:val="rvps14"/>
              <w:spacing w:before="60" w:beforeAutospacing="0"/>
              <w:ind w:left="113"/>
              <w:jc w:val="both"/>
              <w:rPr>
                <w:rStyle w:val="rvts0"/>
                <w:rFonts w:ascii="Times New Roman" w:hAnsi="Times New Roman" w:cs="Times New Roman"/>
                <w:lang w:eastAsia="ru-RU"/>
              </w:rPr>
            </w:pPr>
            <w:r w:rsidRPr="00D91B5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B6189" w:rsidRPr="00DC1E77">
        <w:tc>
          <w:tcPr>
            <w:tcW w:w="577" w:type="dxa"/>
          </w:tcPr>
          <w:p w:rsidR="004B6189" w:rsidRPr="00DC1E77" w:rsidRDefault="004B6189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4B6189" w:rsidRPr="00DC1E77" w:rsidRDefault="004B6189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4B6189" w:rsidRPr="00DC1E77" w:rsidRDefault="004B6189" w:rsidP="00C92325">
            <w:pPr>
              <w:pStyle w:val="rvps14"/>
              <w:spacing w:before="60" w:before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B6189" w:rsidRPr="00DC1E77">
        <w:tc>
          <w:tcPr>
            <w:tcW w:w="15337" w:type="dxa"/>
            <w:gridSpan w:val="3"/>
            <w:vAlign w:val="center"/>
          </w:tcPr>
          <w:p w:rsidR="004B6189" w:rsidRPr="00DC1E77" w:rsidRDefault="004B6189" w:rsidP="005C750D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4B6189" w:rsidRPr="00DC1E77">
        <w:tc>
          <w:tcPr>
            <w:tcW w:w="4687" w:type="dxa"/>
            <w:gridSpan w:val="2"/>
          </w:tcPr>
          <w:p w:rsidR="004B6189" w:rsidRPr="00DC1E77" w:rsidRDefault="004B6189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4B6189" w:rsidRPr="00DC1E77" w:rsidRDefault="004B6189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B6189" w:rsidRPr="00EC7E82" w:rsidTr="0058569A">
        <w:tc>
          <w:tcPr>
            <w:tcW w:w="577" w:type="dxa"/>
          </w:tcPr>
          <w:p w:rsidR="004B6189" w:rsidRPr="00AF210D" w:rsidRDefault="004B6189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B6189" w:rsidRPr="007B0ED6" w:rsidRDefault="004B6189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50" w:type="dxa"/>
          </w:tcPr>
          <w:p w:rsidR="004B6189" w:rsidRPr="00FC261B" w:rsidRDefault="004B6189" w:rsidP="00FC261B">
            <w:pPr>
              <w:spacing w:before="60" w:after="120" w:line="240" w:lineRule="auto"/>
              <w:ind w:left="113" w:righ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Power</w:t>
            </w:r>
            <w:proofErr w:type="spellEnd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Point</w:t>
            </w:r>
            <w:proofErr w:type="spellEnd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); навички роботи з інформаційно-пошуковими системами в мережі Інтернет </w:t>
            </w:r>
          </w:p>
        </w:tc>
      </w:tr>
      <w:tr w:rsidR="004B6189" w:rsidRPr="00EC7E82" w:rsidTr="0058569A">
        <w:tc>
          <w:tcPr>
            <w:tcW w:w="577" w:type="dxa"/>
          </w:tcPr>
          <w:p w:rsidR="004B6189" w:rsidRPr="00AF210D" w:rsidRDefault="004B6189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B6189" w:rsidRPr="007B0ED6" w:rsidRDefault="004B6189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4B6189" w:rsidRPr="007B0ED6" w:rsidRDefault="004B6189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650" w:type="dxa"/>
          </w:tcPr>
          <w:p w:rsidR="004B6189" w:rsidRPr="00FC261B" w:rsidRDefault="004B6189" w:rsidP="004A2F35">
            <w:pPr>
              <w:spacing w:before="60" w:after="120" w:line="240" w:lineRule="auto"/>
              <w:ind w:left="113" w:righ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аналітичні здібності, лідерські якості, вміння розподіляти роботу, виваженість, здатність концентруватись на деталях, адаптивність, вміння вести перемовини, організаторські здібності, </w:t>
            </w:r>
            <w:proofErr w:type="spellStart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стресостійкість</w:t>
            </w:r>
            <w:proofErr w:type="spellEnd"/>
            <w:r w:rsidRPr="00F3151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</w:t>
            </w:r>
          </w:p>
        </w:tc>
      </w:tr>
      <w:tr w:rsidR="004B6189" w:rsidRPr="00EC7E82" w:rsidTr="0058569A">
        <w:tc>
          <w:tcPr>
            <w:tcW w:w="577" w:type="dxa"/>
          </w:tcPr>
          <w:p w:rsidR="004B6189" w:rsidRPr="00AF210D" w:rsidRDefault="004B6189" w:rsidP="0058569A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B6189" w:rsidRPr="007B0ED6" w:rsidRDefault="004B6189" w:rsidP="0058569A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50" w:type="dxa"/>
          </w:tcPr>
          <w:p w:rsidR="004B6189" w:rsidRPr="004960FA" w:rsidRDefault="004B6189" w:rsidP="00FC261B">
            <w:pPr>
              <w:spacing w:before="60" w:after="120"/>
              <w:ind w:left="113" w:righ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ініціативність, порядність, дисциплінованість, готовність допомогти, контроль емоцій, комунікабельність, повага до інших, відповідальність</w:t>
            </w:r>
          </w:p>
        </w:tc>
      </w:tr>
      <w:tr w:rsidR="004B6189" w:rsidRPr="00DC1E77">
        <w:tc>
          <w:tcPr>
            <w:tcW w:w="15337" w:type="dxa"/>
            <w:gridSpan w:val="3"/>
          </w:tcPr>
          <w:p w:rsidR="004B6189" w:rsidRPr="00DC1E77" w:rsidRDefault="004B6189" w:rsidP="00163AD5">
            <w:pPr>
              <w:spacing w:before="240" w:after="240" w:line="240" w:lineRule="auto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4B6189" w:rsidRPr="00DC1E77">
        <w:tc>
          <w:tcPr>
            <w:tcW w:w="4687" w:type="dxa"/>
            <w:gridSpan w:val="2"/>
          </w:tcPr>
          <w:p w:rsidR="004B6189" w:rsidRPr="00DC1E77" w:rsidRDefault="004B6189" w:rsidP="00C268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4B6189" w:rsidRPr="00DC1E77" w:rsidRDefault="004B6189" w:rsidP="00C268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B6189" w:rsidRPr="00DC1E77">
        <w:tc>
          <w:tcPr>
            <w:tcW w:w="577" w:type="dxa"/>
          </w:tcPr>
          <w:p w:rsidR="004B6189" w:rsidRPr="00DC1E77" w:rsidRDefault="004B6189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B6189" w:rsidRPr="00DC1E77" w:rsidRDefault="004B6189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4B6189" w:rsidRPr="00DC1E77" w:rsidRDefault="004B6189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4B6189" w:rsidRPr="00DC1E77" w:rsidRDefault="004B6189" w:rsidP="004960FA">
            <w:pPr>
              <w:tabs>
                <w:tab w:val="left" w:pos="6480"/>
              </w:tabs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0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4B6189" w:rsidRPr="003A13A3">
        <w:tc>
          <w:tcPr>
            <w:tcW w:w="577" w:type="dxa"/>
          </w:tcPr>
          <w:p w:rsidR="004B6189" w:rsidRPr="00DC1E77" w:rsidRDefault="004B6189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B6189" w:rsidRPr="00DC1E77" w:rsidRDefault="004B6189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4B6189" w:rsidRPr="004B6189" w:rsidRDefault="004B6189" w:rsidP="00FB63F0">
            <w:pPr>
              <w:spacing w:after="0" w:line="240" w:lineRule="auto"/>
              <w:ind w:left="57" w:right="113" w:firstLine="11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Знання:</w:t>
            </w:r>
          </w:p>
          <w:p w:rsidR="004B6189" w:rsidRPr="004B6189" w:rsidRDefault="004B6189" w:rsidP="00FB63F0">
            <w:pPr>
              <w:suppressAutoHyphens/>
              <w:spacing w:after="0" w:line="240" w:lineRule="auto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Закону України 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«Про центральні органи виконавчої влади»;</w:t>
            </w:r>
          </w:p>
          <w:p w:rsidR="004B6189" w:rsidRPr="004B6189" w:rsidRDefault="004B6189" w:rsidP="00FB63F0">
            <w:pPr>
              <w:tabs>
                <w:tab w:val="left" w:pos="0"/>
              </w:tabs>
              <w:suppressAutoHyphens/>
              <w:spacing w:after="0" w:line="240" w:lineRule="auto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Закону України 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«Про охорону праці»;</w:t>
            </w:r>
          </w:p>
          <w:p w:rsidR="004B6189" w:rsidRPr="004B6189" w:rsidRDefault="004B6189" w:rsidP="00FB63F0">
            <w:pPr>
              <w:tabs>
                <w:tab w:val="left" w:pos="0"/>
              </w:tabs>
              <w:suppressAutoHyphens/>
              <w:spacing w:after="0" w:line="240" w:lineRule="auto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Закону України 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«Про телебачення і радіомовлення»;</w:t>
            </w:r>
          </w:p>
          <w:p w:rsidR="004B6189" w:rsidRPr="004B6189" w:rsidRDefault="004B6189" w:rsidP="00FB63F0">
            <w:pPr>
              <w:tabs>
                <w:tab w:val="left" w:pos="0"/>
              </w:tabs>
              <w:suppressAutoHyphens/>
              <w:spacing w:after="0" w:line="240" w:lineRule="auto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Закону України «Про доступ до публічної інформації»;</w:t>
            </w:r>
          </w:p>
          <w:p w:rsidR="004B6189" w:rsidRPr="004B6189" w:rsidRDefault="004B6189" w:rsidP="00FB63F0">
            <w:pPr>
              <w:spacing w:after="0" w:line="240" w:lineRule="auto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Закону України 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«Про захист персональних даних»;</w:t>
            </w:r>
          </w:p>
          <w:p w:rsidR="00FB63F0" w:rsidRPr="00FB63F0" w:rsidRDefault="00FB63F0" w:rsidP="00FB63F0">
            <w:pPr>
              <w:spacing w:after="0"/>
              <w:ind w:left="57" w:right="1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Закону України «Про </w:t>
            </w:r>
            <w:hyperlink r:id="rId13" w:tgtFrame="_blank" w:history="1">
              <w:r w:rsidRPr="00FB63F0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страховий фонд документації </w:t>
              </w:r>
              <w:proofErr w:type="spellStart"/>
              <w:r w:rsidRPr="00FB63F0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України</w:t>
              </w:r>
            </w:hyperlink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proofErr w:type="spellEnd"/>
          </w:p>
          <w:p w:rsidR="004B6189" w:rsidRPr="004B6189" w:rsidRDefault="004B6189" w:rsidP="00FB63F0">
            <w:pPr>
              <w:spacing w:after="0" w:line="240" w:lineRule="auto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hyperlink r:id="rId14" w:history="1">
              <w:r w:rsidRPr="004B6189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Кодексу цивільного захисту України;</w:t>
              </w:r>
            </w:hyperlink>
          </w:p>
          <w:p w:rsidR="00FB63F0" w:rsidRDefault="00FB63F0" w:rsidP="00FB63F0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hyperlink r:id="rId15" w:history="1">
              <w:r w:rsidRPr="00F3151B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Кодексу законів про працю України (</w:t>
              </w:r>
              <w:proofErr w:type="spellStart"/>
              <w:r w:rsidRPr="00F3151B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КЗпПУ</w:t>
              </w:r>
              <w:proofErr w:type="spellEnd"/>
              <w:r w:rsidRPr="00F3151B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)</w:t>
              </w:r>
            </w:hyperlink>
            <w:r w:rsidRPr="00F3151B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6189" w:rsidRPr="004B6189" w:rsidRDefault="004B6189" w:rsidP="00FB63F0">
            <w:pPr>
              <w:spacing w:after="0" w:line="240" w:lineRule="auto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постанови Кабінету Міністрів України від 13.08.2014 № 341 «</w:t>
            </w:r>
            <w:r w:rsidR="002D7201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</w:t>
            </w: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ро Державний комітет телебачення і радіомовлення України»</w:t>
            </w:r>
          </w:p>
          <w:p w:rsidR="00FB63F0" w:rsidRPr="00FB63F0" w:rsidRDefault="00FB63F0" w:rsidP="00FB63F0">
            <w:pPr>
              <w:spacing w:after="0"/>
              <w:ind w:left="57" w:right="1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постанови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13.03.2002 №319 </w:t>
            </w: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16" w:tgtFrame="_blank" w:history="1">
              <w:r w:rsidRPr="00FB63F0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Про затвердження Положення про порядок формування, ведення та використання галузевого страхового фонду документації</w:t>
              </w:r>
            </w:hyperlink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0280F" w:rsidRPr="00FB63F0" w:rsidRDefault="0020280F" w:rsidP="0020280F">
            <w:pPr>
              <w:spacing w:after="0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09.01. 2014 р. № 4 «Про затвердження Положення про єдину державну систему цивільного захисту».</w:t>
            </w:r>
          </w:p>
          <w:p w:rsidR="0020280F" w:rsidRPr="00FB63F0" w:rsidRDefault="0020280F" w:rsidP="0020280F">
            <w:pPr>
              <w:spacing w:after="0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27.09. 2017 р. № 733 «Про затвердження Положення про організацію оповіщення про загрозу виникнення або виникнення надзвичайних ситуацій та зв’яз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ку у сфері цивільного захисту»;</w:t>
            </w:r>
          </w:p>
          <w:p w:rsidR="0020280F" w:rsidRPr="00FB63F0" w:rsidRDefault="0020280F" w:rsidP="0020280F">
            <w:pPr>
              <w:spacing w:after="0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08.07. 2015 р. № 469 «Про затвердження Положення про спеціалізо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вані служби цивільного захисту»;</w:t>
            </w:r>
          </w:p>
          <w:p w:rsidR="00FB63F0" w:rsidRPr="00FB63F0" w:rsidRDefault="00FB63F0" w:rsidP="00FB63F0">
            <w:pPr>
              <w:spacing w:after="0"/>
              <w:ind w:left="57" w:right="1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Кабінету Міністрів України від 20.05.2015 № 504-р </w:t>
            </w:r>
            <w:r w:rsidR="0020280F"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17" w:tgtFrame="_blank" w:history="1">
              <w:r w:rsidRPr="00FB63F0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Про надання дозволу Державній архівній службі на проведення інспекційних перевірок у сфері страхового фонду документації</w:t>
              </w:r>
            </w:hyperlink>
            <w:r w:rsidR="0020280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B63F0" w:rsidRPr="00FB63F0" w:rsidRDefault="00FB63F0" w:rsidP="00FB63F0">
            <w:pPr>
              <w:spacing w:after="0"/>
              <w:ind w:left="57" w:right="113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аказ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Мін’юсту від 01.09.2014 № 1444/5 </w:t>
            </w:r>
            <w:r w:rsidR="0020280F"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hyperlink r:id="rId18" w:tgtFrame="_blank" w:history="1">
              <w:r w:rsidRPr="00FB63F0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Про затвердження форми та опису галузевої програми створення страхового фонду документації</w:t>
              </w:r>
            </w:hyperlink>
            <w:r w:rsidR="0020280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hyperlink r:id="rId19" w:tgtFrame="_blank" w:history="1">
              <w:r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;</w:t>
              </w:r>
            </w:hyperlink>
          </w:p>
          <w:p w:rsidR="00FB63F0" w:rsidRPr="00FB63F0" w:rsidRDefault="00FB63F0" w:rsidP="00FB63F0">
            <w:pPr>
              <w:spacing w:after="0"/>
              <w:ind w:left="57"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аказ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МВС України, </w:t>
            </w:r>
            <w:proofErr w:type="spellStart"/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Держспецзв’язку</w:t>
            </w:r>
            <w:proofErr w:type="spellEnd"/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, Держкомтелерадіо ві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д 07.11.2016 р. №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1170/690/197 «Про затвердження Положення про спеціалізовану службу зв’язку та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оповіщення цивільного захисту»;</w:t>
            </w:r>
          </w:p>
          <w:p w:rsidR="004B6189" w:rsidRPr="00FB63F0" w:rsidRDefault="00FB63F0" w:rsidP="0020280F">
            <w:pPr>
              <w:spacing w:after="0" w:line="240" w:lineRule="auto"/>
              <w:ind w:right="113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18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аказ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МВС України від 30.12.2014 р. № 1417 </w:t>
            </w:r>
            <w:r w:rsidR="0020280F"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B63F0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Правил пожежної безпеки в Україні»</w:t>
            </w:r>
          </w:p>
        </w:tc>
      </w:tr>
    </w:tbl>
    <w:p w:rsidR="00616638" w:rsidRPr="00B36D30" w:rsidRDefault="00616638" w:rsidP="00B03EDC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  <w:lang w:val="uk-UA"/>
        </w:rPr>
      </w:pPr>
    </w:p>
    <w:sectPr w:rsidR="00616638" w:rsidRPr="00B36D30" w:rsidSect="006968D8">
      <w:headerReference w:type="default" r:id="rId20"/>
      <w:pgSz w:w="16838" w:h="11906" w:orient="landscape"/>
      <w:pgMar w:top="709" w:right="567" w:bottom="426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9F" w:rsidRDefault="00B7199F" w:rsidP="00F33DE3">
      <w:pPr>
        <w:spacing w:after="0" w:line="240" w:lineRule="auto"/>
      </w:pPr>
      <w:r>
        <w:separator/>
      </w:r>
    </w:p>
  </w:endnote>
  <w:endnote w:type="continuationSeparator" w:id="0">
    <w:p w:rsidR="00B7199F" w:rsidRDefault="00B7199F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sburgTT">
    <w:altName w:val="Times New Roman"/>
    <w:charset w:val="CC"/>
    <w:family w:val="roman"/>
    <w:pitch w:val="variable"/>
    <w:sig w:usb0="00000207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9F" w:rsidRDefault="00B7199F" w:rsidP="00F33DE3">
      <w:pPr>
        <w:spacing w:after="0" w:line="240" w:lineRule="auto"/>
      </w:pPr>
      <w:r>
        <w:separator/>
      </w:r>
    </w:p>
  </w:footnote>
  <w:footnote w:type="continuationSeparator" w:id="0">
    <w:p w:rsidR="00B7199F" w:rsidRDefault="00B7199F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38" w:rsidRDefault="00B83AE7">
    <w:pPr>
      <w:pStyle w:val="a7"/>
      <w:jc w:val="center"/>
    </w:pPr>
    <w:fldSimple w:instr=" PAGE   \* MERGEFORMAT ">
      <w:r w:rsidR="00EC7E82">
        <w:rPr>
          <w:noProof/>
        </w:rPr>
        <w:t>2</w:t>
      </w:r>
    </w:fldSimple>
  </w:p>
  <w:p w:rsidR="00616638" w:rsidRDefault="006166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501D37"/>
    <w:multiLevelType w:val="hybridMultilevel"/>
    <w:tmpl w:val="E4C03C10"/>
    <w:lvl w:ilvl="0" w:tplc="0422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6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F57D38"/>
    <w:multiLevelType w:val="hybridMultilevel"/>
    <w:tmpl w:val="9FA88302"/>
    <w:lvl w:ilvl="0" w:tplc="CBB0B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31B5"/>
    <w:rsid w:val="0000512C"/>
    <w:rsid w:val="000061BC"/>
    <w:rsid w:val="000230FE"/>
    <w:rsid w:val="00025B23"/>
    <w:rsid w:val="0003075D"/>
    <w:rsid w:val="00030BBC"/>
    <w:rsid w:val="00041709"/>
    <w:rsid w:val="00046872"/>
    <w:rsid w:val="000603A0"/>
    <w:rsid w:val="00070FF5"/>
    <w:rsid w:val="0008690D"/>
    <w:rsid w:val="000A71E8"/>
    <w:rsid w:val="000C36D8"/>
    <w:rsid w:val="000E36C6"/>
    <w:rsid w:val="000E5BE6"/>
    <w:rsid w:val="000E6567"/>
    <w:rsid w:val="000F155A"/>
    <w:rsid w:val="000F33E3"/>
    <w:rsid w:val="001105F7"/>
    <w:rsid w:val="0012112F"/>
    <w:rsid w:val="00126F47"/>
    <w:rsid w:val="00132D74"/>
    <w:rsid w:val="00136E4B"/>
    <w:rsid w:val="0014077C"/>
    <w:rsid w:val="00156753"/>
    <w:rsid w:val="00161FC7"/>
    <w:rsid w:val="00163AD5"/>
    <w:rsid w:val="001715CB"/>
    <w:rsid w:val="00187BAB"/>
    <w:rsid w:val="001931B4"/>
    <w:rsid w:val="0019406F"/>
    <w:rsid w:val="001A3617"/>
    <w:rsid w:val="001B3031"/>
    <w:rsid w:val="001B5293"/>
    <w:rsid w:val="001B7A4B"/>
    <w:rsid w:val="001C1655"/>
    <w:rsid w:val="001C3570"/>
    <w:rsid w:val="001C5236"/>
    <w:rsid w:val="001C7957"/>
    <w:rsid w:val="001D2D26"/>
    <w:rsid w:val="001E3240"/>
    <w:rsid w:val="001F7EA8"/>
    <w:rsid w:val="00200451"/>
    <w:rsid w:val="0020280F"/>
    <w:rsid w:val="0022545E"/>
    <w:rsid w:val="00225538"/>
    <w:rsid w:val="00241210"/>
    <w:rsid w:val="00243757"/>
    <w:rsid w:val="00246383"/>
    <w:rsid w:val="0025237F"/>
    <w:rsid w:val="002545E9"/>
    <w:rsid w:val="00257740"/>
    <w:rsid w:val="00257C9E"/>
    <w:rsid w:val="0027270F"/>
    <w:rsid w:val="00275C1E"/>
    <w:rsid w:val="002836BD"/>
    <w:rsid w:val="00287308"/>
    <w:rsid w:val="00294EFB"/>
    <w:rsid w:val="002B03CB"/>
    <w:rsid w:val="002B12B6"/>
    <w:rsid w:val="002B1A28"/>
    <w:rsid w:val="002B54F9"/>
    <w:rsid w:val="002B5609"/>
    <w:rsid w:val="002D7201"/>
    <w:rsid w:val="002E5D30"/>
    <w:rsid w:val="002F0B02"/>
    <w:rsid w:val="002F4FCB"/>
    <w:rsid w:val="00305053"/>
    <w:rsid w:val="003068F7"/>
    <w:rsid w:val="00316DC5"/>
    <w:rsid w:val="00321B07"/>
    <w:rsid w:val="0033054B"/>
    <w:rsid w:val="003371C2"/>
    <w:rsid w:val="00344B7E"/>
    <w:rsid w:val="00346A50"/>
    <w:rsid w:val="0034717B"/>
    <w:rsid w:val="00352833"/>
    <w:rsid w:val="00353204"/>
    <w:rsid w:val="00354C0E"/>
    <w:rsid w:val="00355BCE"/>
    <w:rsid w:val="003577CE"/>
    <w:rsid w:val="00364200"/>
    <w:rsid w:val="003812B8"/>
    <w:rsid w:val="00390887"/>
    <w:rsid w:val="00390E2A"/>
    <w:rsid w:val="0039322B"/>
    <w:rsid w:val="00396952"/>
    <w:rsid w:val="003A13A3"/>
    <w:rsid w:val="003A2578"/>
    <w:rsid w:val="003B0357"/>
    <w:rsid w:val="003C7EEA"/>
    <w:rsid w:val="003E6F95"/>
    <w:rsid w:val="003F6CA8"/>
    <w:rsid w:val="004236BA"/>
    <w:rsid w:val="00423850"/>
    <w:rsid w:val="0042787F"/>
    <w:rsid w:val="00433ECF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960FA"/>
    <w:rsid w:val="004A1F39"/>
    <w:rsid w:val="004A2F35"/>
    <w:rsid w:val="004A6A46"/>
    <w:rsid w:val="004B1B9A"/>
    <w:rsid w:val="004B6189"/>
    <w:rsid w:val="004B6465"/>
    <w:rsid w:val="004B7659"/>
    <w:rsid w:val="004C0478"/>
    <w:rsid w:val="004C37DF"/>
    <w:rsid w:val="004C74B1"/>
    <w:rsid w:val="004D39C0"/>
    <w:rsid w:val="00500872"/>
    <w:rsid w:val="00505515"/>
    <w:rsid w:val="005143EB"/>
    <w:rsid w:val="00523CBE"/>
    <w:rsid w:val="005265E1"/>
    <w:rsid w:val="00535D58"/>
    <w:rsid w:val="00537ACD"/>
    <w:rsid w:val="00540A8D"/>
    <w:rsid w:val="00544C3C"/>
    <w:rsid w:val="00546CA7"/>
    <w:rsid w:val="00551169"/>
    <w:rsid w:val="005562ED"/>
    <w:rsid w:val="005605BD"/>
    <w:rsid w:val="00572010"/>
    <w:rsid w:val="005721C2"/>
    <w:rsid w:val="00573228"/>
    <w:rsid w:val="00584E84"/>
    <w:rsid w:val="0058569A"/>
    <w:rsid w:val="0059259B"/>
    <w:rsid w:val="0059567C"/>
    <w:rsid w:val="005C750D"/>
    <w:rsid w:val="005D011D"/>
    <w:rsid w:val="005D12D9"/>
    <w:rsid w:val="005D3290"/>
    <w:rsid w:val="005D6521"/>
    <w:rsid w:val="005D796F"/>
    <w:rsid w:val="005E1CA2"/>
    <w:rsid w:val="005E249B"/>
    <w:rsid w:val="005F12D6"/>
    <w:rsid w:val="005F51BA"/>
    <w:rsid w:val="006031EE"/>
    <w:rsid w:val="006058A3"/>
    <w:rsid w:val="006064A3"/>
    <w:rsid w:val="00616638"/>
    <w:rsid w:val="006202C8"/>
    <w:rsid w:val="00620BA8"/>
    <w:rsid w:val="0062360A"/>
    <w:rsid w:val="006256D7"/>
    <w:rsid w:val="00631D52"/>
    <w:rsid w:val="00634AE4"/>
    <w:rsid w:val="00636BA4"/>
    <w:rsid w:val="00652DB5"/>
    <w:rsid w:val="006548B2"/>
    <w:rsid w:val="0065612B"/>
    <w:rsid w:val="00661CA2"/>
    <w:rsid w:val="00666382"/>
    <w:rsid w:val="00670AE8"/>
    <w:rsid w:val="0067366F"/>
    <w:rsid w:val="0067779E"/>
    <w:rsid w:val="00677FC9"/>
    <w:rsid w:val="0068074A"/>
    <w:rsid w:val="00680CD2"/>
    <w:rsid w:val="0068358B"/>
    <w:rsid w:val="0068662E"/>
    <w:rsid w:val="0069451D"/>
    <w:rsid w:val="0069494A"/>
    <w:rsid w:val="006968D8"/>
    <w:rsid w:val="006B03DD"/>
    <w:rsid w:val="006B12CB"/>
    <w:rsid w:val="006C3A5E"/>
    <w:rsid w:val="006C66CE"/>
    <w:rsid w:val="006C79D3"/>
    <w:rsid w:val="006D3543"/>
    <w:rsid w:val="006D42AD"/>
    <w:rsid w:val="006E156A"/>
    <w:rsid w:val="006E5448"/>
    <w:rsid w:val="006E68FF"/>
    <w:rsid w:val="006F455F"/>
    <w:rsid w:val="00701D36"/>
    <w:rsid w:val="00706B62"/>
    <w:rsid w:val="00714870"/>
    <w:rsid w:val="00716707"/>
    <w:rsid w:val="00717CEB"/>
    <w:rsid w:val="00723EE1"/>
    <w:rsid w:val="00725A7F"/>
    <w:rsid w:val="00736459"/>
    <w:rsid w:val="00741D8E"/>
    <w:rsid w:val="0075029E"/>
    <w:rsid w:val="00755722"/>
    <w:rsid w:val="007679BD"/>
    <w:rsid w:val="007878B5"/>
    <w:rsid w:val="007916A5"/>
    <w:rsid w:val="00794E09"/>
    <w:rsid w:val="00795EB3"/>
    <w:rsid w:val="007A208B"/>
    <w:rsid w:val="007A5FD9"/>
    <w:rsid w:val="007C12D4"/>
    <w:rsid w:val="007C4A55"/>
    <w:rsid w:val="007C6866"/>
    <w:rsid w:val="007F1339"/>
    <w:rsid w:val="007F26DD"/>
    <w:rsid w:val="00805EBB"/>
    <w:rsid w:val="0080747B"/>
    <w:rsid w:val="00807F79"/>
    <w:rsid w:val="008112EF"/>
    <w:rsid w:val="00822219"/>
    <w:rsid w:val="00827E6D"/>
    <w:rsid w:val="00832517"/>
    <w:rsid w:val="0083708A"/>
    <w:rsid w:val="0084478C"/>
    <w:rsid w:val="00851611"/>
    <w:rsid w:val="00861B75"/>
    <w:rsid w:val="0086385D"/>
    <w:rsid w:val="00873C08"/>
    <w:rsid w:val="00873E17"/>
    <w:rsid w:val="00875E18"/>
    <w:rsid w:val="0088020D"/>
    <w:rsid w:val="00880C9E"/>
    <w:rsid w:val="00887133"/>
    <w:rsid w:val="00887F5D"/>
    <w:rsid w:val="00895C20"/>
    <w:rsid w:val="008A7D8B"/>
    <w:rsid w:val="008C2575"/>
    <w:rsid w:val="008C6A3B"/>
    <w:rsid w:val="008C7528"/>
    <w:rsid w:val="008E06F5"/>
    <w:rsid w:val="008F1F86"/>
    <w:rsid w:val="008F381D"/>
    <w:rsid w:val="008F72B6"/>
    <w:rsid w:val="009004B6"/>
    <w:rsid w:val="00904312"/>
    <w:rsid w:val="009064B4"/>
    <w:rsid w:val="009111A1"/>
    <w:rsid w:val="0091637F"/>
    <w:rsid w:val="00916815"/>
    <w:rsid w:val="00917660"/>
    <w:rsid w:val="00925AF2"/>
    <w:rsid w:val="00925FBC"/>
    <w:rsid w:val="00935E69"/>
    <w:rsid w:val="009404C9"/>
    <w:rsid w:val="009425ED"/>
    <w:rsid w:val="00953B54"/>
    <w:rsid w:val="009540D5"/>
    <w:rsid w:val="00961926"/>
    <w:rsid w:val="00963D90"/>
    <w:rsid w:val="00966FEB"/>
    <w:rsid w:val="00970CC7"/>
    <w:rsid w:val="00982F9D"/>
    <w:rsid w:val="009923C7"/>
    <w:rsid w:val="009A0D16"/>
    <w:rsid w:val="009C734E"/>
    <w:rsid w:val="009D1022"/>
    <w:rsid w:val="009D3841"/>
    <w:rsid w:val="009D68D9"/>
    <w:rsid w:val="009E1F93"/>
    <w:rsid w:val="009E292E"/>
    <w:rsid w:val="009E3952"/>
    <w:rsid w:val="009E400A"/>
    <w:rsid w:val="009F20F7"/>
    <w:rsid w:val="00A03609"/>
    <w:rsid w:val="00A26780"/>
    <w:rsid w:val="00A310C7"/>
    <w:rsid w:val="00A313EC"/>
    <w:rsid w:val="00A36146"/>
    <w:rsid w:val="00A37075"/>
    <w:rsid w:val="00A61104"/>
    <w:rsid w:val="00A63682"/>
    <w:rsid w:val="00A65FAD"/>
    <w:rsid w:val="00A9195B"/>
    <w:rsid w:val="00A97794"/>
    <w:rsid w:val="00AA5453"/>
    <w:rsid w:val="00AB0358"/>
    <w:rsid w:val="00AB1AAF"/>
    <w:rsid w:val="00AB3114"/>
    <w:rsid w:val="00AB4B45"/>
    <w:rsid w:val="00AB4E15"/>
    <w:rsid w:val="00AC3B12"/>
    <w:rsid w:val="00AC5CCB"/>
    <w:rsid w:val="00AC5CFE"/>
    <w:rsid w:val="00AE39B9"/>
    <w:rsid w:val="00AE5E4E"/>
    <w:rsid w:val="00AF14FD"/>
    <w:rsid w:val="00AF3344"/>
    <w:rsid w:val="00B00013"/>
    <w:rsid w:val="00B01623"/>
    <w:rsid w:val="00B01BB9"/>
    <w:rsid w:val="00B03EDC"/>
    <w:rsid w:val="00B0553E"/>
    <w:rsid w:val="00B1064D"/>
    <w:rsid w:val="00B16B44"/>
    <w:rsid w:val="00B21FD3"/>
    <w:rsid w:val="00B237C7"/>
    <w:rsid w:val="00B251FA"/>
    <w:rsid w:val="00B2731C"/>
    <w:rsid w:val="00B30DD2"/>
    <w:rsid w:val="00B316D6"/>
    <w:rsid w:val="00B346FF"/>
    <w:rsid w:val="00B36D30"/>
    <w:rsid w:val="00B41FFC"/>
    <w:rsid w:val="00B42590"/>
    <w:rsid w:val="00B42E4C"/>
    <w:rsid w:val="00B50B2C"/>
    <w:rsid w:val="00B663BB"/>
    <w:rsid w:val="00B6792B"/>
    <w:rsid w:val="00B7199F"/>
    <w:rsid w:val="00B75FD6"/>
    <w:rsid w:val="00B8207A"/>
    <w:rsid w:val="00B83AE7"/>
    <w:rsid w:val="00B9218C"/>
    <w:rsid w:val="00B96832"/>
    <w:rsid w:val="00BA1E41"/>
    <w:rsid w:val="00BA4AC4"/>
    <w:rsid w:val="00BA65AE"/>
    <w:rsid w:val="00BC1400"/>
    <w:rsid w:val="00BC5E3E"/>
    <w:rsid w:val="00BE7753"/>
    <w:rsid w:val="00BF33BC"/>
    <w:rsid w:val="00C02B93"/>
    <w:rsid w:val="00C21864"/>
    <w:rsid w:val="00C2685C"/>
    <w:rsid w:val="00C51FE6"/>
    <w:rsid w:val="00C63296"/>
    <w:rsid w:val="00C6539D"/>
    <w:rsid w:val="00C65F17"/>
    <w:rsid w:val="00C7375C"/>
    <w:rsid w:val="00C807E7"/>
    <w:rsid w:val="00C87B25"/>
    <w:rsid w:val="00C90C5E"/>
    <w:rsid w:val="00C92325"/>
    <w:rsid w:val="00C93250"/>
    <w:rsid w:val="00C9469B"/>
    <w:rsid w:val="00CA1B56"/>
    <w:rsid w:val="00CA657A"/>
    <w:rsid w:val="00CB4AEF"/>
    <w:rsid w:val="00CB67D5"/>
    <w:rsid w:val="00CB7FF7"/>
    <w:rsid w:val="00CC37E8"/>
    <w:rsid w:val="00CC71BD"/>
    <w:rsid w:val="00CD41E9"/>
    <w:rsid w:val="00CE1D99"/>
    <w:rsid w:val="00CE7FFB"/>
    <w:rsid w:val="00CF4C3F"/>
    <w:rsid w:val="00CF715B"/>
    <w:rsid w:val="00D00401"/>
    <w:rsid w:val="00D13800"/>
    <w:rsid w:val="00D179CC"/>
    <w:rsid w:val="00D222F3"/>
    <w:rsid w:val="00D31373"/>
    <w:rsid w:val="00D32F79"/>
    <w:rsid w:val="00D35193"/>
    <w:rsid w:val="00D40069"/>
    <w:rsid w:val="00D562B3"/>
    <w:rsid w:val="00D67EFF"/>
    <w:rsid w:val="00D86761"/>
    <w:rsid w:val="00D86BB2"/>
    <w:rsid w:val="00D91B57"/>
    <w:rsid w:val="00DA0A7A"/>
    <w:rsid w:val="00DA1938"/>
    <w:rsid w:val="00DA1A1F"/>
    <w:rsid w:val="00DA3CEA"/>
    <w:rsid w:val="00DA6D10"/>
    <w:rsid w:val="00DC1E77"/>
    <w:rsid w:val="00DD25D8"/>
    <w:rsid w:val="00E01C18"/>
    <w:rsid w:val="00E01C80"/>
    <w:rsid w:val="00E16A2D"/>
    <w:rsid w:val="00E37DFF"/>
    <w:rsid w:val="00E40A9D"/>
    <w:rsid w:val="00E45EB1"/>
    <w:rsid w:val="00E5192C"/>
    <w:rsid w:val="00E51BA6"/>
    <w:rsid w:val="00E538C1"/>
    <w:rsid w:val="00E556F1"/>
    <w:rsid w:val="00E55F3A"/>
    <w:rsid w:val="00E657A5"/>
    <w:rsid w:val="00E7260E"/>
    <w:rsid w:val="00E809B3"/>
    <w:rsid w:val="00E82AA0"/>
    <w:rsid w:val="00E96718"/>
    <w:rsid w:val="00EA7E71"/>
    <w:rsid w:val="00EB2CD8"/>
    <w:rsid w:val="00EB4942"/>
    <w:rsid w:val="00EC3776"/>
    <w:rsid w:val="00EC7E82"/>
    <w:rsid w:val="00ED36A4"/>
    <w:rsid w:val="00EE1B2D"/>
    <w:rsid w:val="00EE57F2"/>
    <w:rsid w:val="00EE7F31"/>
    <w:rsid w:val="00EF4200"/>
    <w:rsid w:val="00EF7CF7"/>
    <w:rsid w:val="00F04F3C"/>
    <w:rsid w:val="00F10419"/>
    <w:rsid w:val="00F131B5"/>
    <w:rsid w:val="00F3151B"/>
    <w:rsid w:val="00F31B65"/>
    <w:rsid w:val="00F33DE3"/>
    <w:rsid w:val="00F3531A"/>
    <w:rsid w:val="00F35BB7"/>
    <w:rsid w:val="00F4341E"/>
    <w:rsid w:val="00F45F2A"/>
    <w:rsid w:val="00F45F6D"/>
    <w:rsid w:val="00F46063"/>
    <w:rsid w:val="00F46921"/>
    <w:rsid w:val="00F561F1"/>
    <w:rsid w:val="00F56EBD"/>
    <w:rsid w:val="00F57CCB"/>
    <w:rsid w:val="00F62D41"/>
    <w:rsid w:val="00F65201"/>
    <w:rsid w:val="00F66EEC"/>
    <w:rsid w:val="00F77D79"/>
    <w:rsid w:val="00F85587"/>
    <w:rsid w:val="00F90AB0"/>
    <w:rsid w:val="00F93F41"/>
    <w:rsid w:val="00F95D49"/>
    <w:rsid w:val="00F96443"/>
    <w:rsid w:val="00FA7C8C"/>
    <w:rsid w:val="00FB226D"/>
    <w:rsid w:val="00FB408B"/>
    <w:rsid w:val="00FB63F0"/>
    <w:rsid w:val="00FC261B"/>
    <w:rsid w:val="00FC29BE"/>
    <w:rsid w:val="00FC2C3B"/>
    <w:rsid w:val="00FC36FA"/>
    <w:rsid w:val="00FC6232"/>
    <w:rsid w:val="00FD5F15"/>
    <w:rsid w:val="00FE0F71"/>
    <w:rsid w:val="00FE3CCB"/>
    <w:rsid w:val="00FE4B6F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rsid w:val="00DA0A7A"/>
  </w:style>
  <w:style w:type="paragraph" w:styleId="a4">
    <w:name w:val="Normal (Web)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character" w:customStyle="1" w:styleId="rvts23">
    <w:name w:val="rvts23"/>
    <w:basedOn w:val="a0"/>
    <w:uiPriority w:val="99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e">
    <w:name w:val="Нормальний текст"/>
    <w:basedOn w:val="a"/>
    <w:uiPriority w:val="99"/>
    <w:rsid w:val="00535D5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">
    <w:name w:val="st"/>
    <w:basedOn w:val="a0"/>
    <w:rsid w:val="00B03EDC"/>
  </w:style>
  <w:style w:type="paragraph" w:customStyle="1" w:styleId="21">
    <w:name w:val="Основной текст 21"/>
    <w:basedOn w:val="a"/>
    <w:rsid w:val="009923C7"/>
    <w:pPr>
      <w:widowControl w:val="0"/>
      <w:spacing w:after="0" w:line="240" w:lineRule="auto"/>
      <w:ind w:firstLine="709"/>
      <w:jc w:val="both"/>
    </w:pPr>
    <w:rPr>
      <w:rFonts w:ascii="PetersburgTT" w:hAnsi="PetersburgTT" w:cs="Times New Roman"/>
      <w:sz w:val="28"/>
      <w:szCs w:val="20"/>
      <w:lang w:val="uk-UA"/>
    </w:rPr>
  </w:style>
  <w:style w:type="character" w:customStyle="1" w:styleId="st42">
    <w:name w:val="st42"/>
    <w:uiPriority w:val="99"/>
    <w:rsid w:val="00B21FD3"/>
    <w:rPr>
      <w:color w:val="000000"/>
    </w:rPr>
  </w:style>
  <w:style w:type="paragraph" w:styleId="af">
    <w:name w:val="caption"/>
    <w:basedOn w:val="a"/>
    <w:next w:val="a"/>
    <w:qFormat/>
    <w:locked/>
    <w:rsid w:val="00132D7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77FC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77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C9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8569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locked/>
    <w:rsid w:val="00F3151B"/>
    <w:pPr>
      <w:spacing w:after="0" w:line="240" w:lineRule="auto"/>
      <w:jc w:val="center"/>
    </w:pPr>
    <w:rPr>
      <w:rFonts w:ascii="Tahoma" w:hAnsi="Tahoma" w:cs="Times New Roman"/>
      <w:sz w:val="24"/>
      <w:szCs w:val="20"/>
      <w:lang w:eastAsia="uk-UA"/>
    </w:rPr>
  </w:style>
  <w:style w:type="character" w:customStyle="1" w:styleId="af2">
    <w:name w:val="Название Знак"/>
    <w:basedOn w:val="a0"/>
    <w:link w:val="af1"/>
    <w:rsid w:val="00F3151B"/>
    <w:rPr>
      <w:rFonts w:ascii="Tahoma" w:hAnsi="Tahoma"/>
      <w:sz w:val="24"/>
      <w:szCs w:val="20"/>
      <w:lang w:val="ru-RU" w:eastAsia="uk-UA"/>
    </w:rPr>
  </w:style>
  <w:style w:type="character" w:styleId="af3">
    <w:name w:val="Strong"/>
    <w:basedOn w:val="a0"/>
    <w:qFormat/>
    <w:locked/>
    <w:rsid w:val="00FB6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hyperlink" Target="http://zakon1.rada.gov.ua/cgi-bin/laws/main.cgi?nreg=2332%2D14&amp;p=1175502067860984" TargetMode="External"/><Relationship Id="rId18" Type="http://schemas.openxmlformats.org/officeDocument/2006/relationships/hyperlink" Target="http://zakon4.rada.gov.ua/laws/show/z1071-14/print13903802742036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yperlink" Target="http://zakon5.rada.gov.ua/laws/show/889-19" TargetMode="External"/><Relationship Id="rId17" Type="http://schemas.openxmlformats.org/officeDocument/2006/relationships/hyperlink" Target="http://www.kmu.gov.ua/control/uk/cardnpd?docid=24817818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1.rada.gov.ua/cgi-bin/laws/main.cgi?nreg=319%2D2002%2D%EF&amp;p=117550206786098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889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.ua/url?sa=t&amp;rct=j&amp;q=&amp;esrc=s&amp;source=web&amp;cd=2&amp;cad=rja&amp;uact=8&amp;ved=0ahUKEwj63s35q6rYAhWGF5oKHbvgBrEQFgguMAE&amp;url=https%3A%2F%2Furist-ua.net%2F%25D0%25BA%25D0%25BE%25D0%25B4%25D0%25B5%25D0%25BA%25D1%2581%25D0%25B8%2F%25D0%25BA%25D0%25BE%25D0%25B4%25D0%25B5%25D0%25BA%25D1%2581_%25D0%25B7%25D0%25B0%25D0%25BA%25D0%25BE%25D0%25BD%25D1%2596%25D0%25B2_%25D0%25BF%25D1%2580%25D0%25BE_%25D0%25BF%25D1%2580%25D0%25B0%25D1%2586%25D1%258E_%25D1%2583%25D0%25BA%25D1%2580%25D0%25B0%25D1%2597%25D0%25BD%25D0%25B8%2F&amp;usg=AOvVaw1a2Gsv7OlJuMnJWBMjpUqH" TargetMode="External"/><Relationship Id="rId10" Type="http://schemas.openxmlformats.org/officeDocument/2006/relationships/hyperlink" Target="http://zakon5.rada.gov.ua/laws/show/254%D0%BA/96-%D0%B2%D1%80" TargetMode="External"/><Relationship Id="rId19" Type="http://schemas.openxmlformats.org/officeDocument/2006/relationships/hyperlink" Target="http://sfd.archives.gov.ua/user-files/Nakaz144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y@comin.gov.ua" TargetMode="External"/><Relationship Id="rId14" Type="http://schemas.openxmlformats.org/officeDocument/2006/relationships/hyperlink" Target="https://www.google.com.ua/url?sa=t&amp;rct=j&amp;q=&amp;esrc=s&amp;source=web&amp;cd=2&amp;cad=rja&amp;uact=8&amp;ved=0ahUKEwj63s35q6rYAhWGF5oKHbvgBrEQFgguMAE&amp;url=https%3A%2F%2Furist-ua.net%2F%25D0%25BA%25D0%25BE%25D0%25B4%25D0%25B5%25D0%25BA%25D1%2581%25D0%25B8%2F%25D0%25BA%25D0%25BE%25D0%25B4%25D0%25B5%25D0%25BA%25D1%2581_%25D0%25B7%25D0%25B0%25D0%25BA%25D0%25BE%25D0%25BD%25D1%2596%25D0%25B2_%25D0%25BF%25D1%2580%25D0%25BE_%25D0%25BF%25D1%2580%25D0%25B0%25D1%2586%25D1%258E_%25D1%2583%25D0%25BA%25D1%2580%25D0%25B0%25D1%2597%25D0%25BD%25D0%25B8%2F&amp;usg=AOvVaw1a2Gsv7OlJuMnJWBMjpUq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9957</Words>
  <Characters>5676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OptiPlex_210.145</dc:creator>
  <cp:lastModifiedBy>User</cp:lastModifiedBy>
  <cp:revision>2</cp:revision>
  <cp:lastPrinted>2019-01-24T15:12:00Z</cp:lastPrinted>
  <dcterms:created xsi:type="dcterms:W3CDTF">2019-01-25T12:14:00Z</dcterms:created>
  <dcterms:modified xsi:type="dcterms:W3CDTF">2019-01-25T12:14:00Z</dcterms:modified>
</cp:coreProperties>
</file>