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38" w:rsidRPr="00DC1E77" w:rsidRDefault="00616638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B48F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16638" w:rsidRPr="00DC1E77" w:rsidRDefault="00616638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616638" w:rsidRPr="00DC1E77" w:rsidRDefault="00616638" w:rsidP="00873E17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C3A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7545" w:rsidRPr="009C3A31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9C3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545" w:rsidRPr="009C3A31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Pr="009C3A3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4E1F9E">
        <w:rPr>
          <w:rFonts w:ascii="Times New Roman" w:hAnsi="Times New Roman" w:cs="Times New Roman"/>
          <w:sz w:val="28"/>
          <w:szCs w:val="28"/>
          <w:lang w:val="uk-UA"/>
        </w:rPr>
        <w:t xml:space="preserve">2018 № </w:t>
      </w:r>
      <w:r w:rsidR="00D87545" w:rsidRPr="004E1F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1F9E" w:rsidRPr="004E1F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47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E1F9E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проведення конкурсу на посаду головного спеціаліста </w:t>
      </w:r>
      <w:r w:rsidRPr="00D87545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D3601A" w:rsidRPr="00D87545">
        <w:rPr>
          <w:rFonts w:ascii="Times New Roman" w:hAnsi="Times New Roman" w:cs="Times New Roman"/>
          <w:bCs/>
          <w:sz w:val="28"/>
          <w:szCs w:val="28"/>
          <w:lang w:val="uk-UA"/>
        </w:rPr>
        <w:t>матеріально-технічного забезпечення, охорони праці та пожежної безпеки адміністративно-господарського управління</w:t>
      </w:r>
      <w:r w:rsidRPr="00D87545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 комітету телебачення і радіомовлення України</w:t>
      </w:r>
    </w:p>
    <w:p w:rsidR="00616638" w:rsidRPr="00DC1E77" w:rsidRDefault="00616638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0"/>
        <w:gridCol w:w="10650"/>
      </w:tblGrid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616638" w:rsidRPr="00B6573E">
        <w:tc>
          <w:tcPr>
            <w:tcW w:w="4687" w:type="dxa"/>
            <w:gridSpan w:val="2"/>
            <w:vAlign w:val="center"/>
          </w:tcPr>
          <w:p w:rsidR="00616638" w:rsidRPr="00DC1E77" w:rsidRDefault="00616638" w:rsidP="004E1F9E">
            <w:pPr>
              <w:pStyle w:val="rvps14"/>
              <w:ind w:left="57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336536" w:rsidRPr="00AF210D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 реалізації покладених на виконання Держкомтелерадіо загальнодержавних та галузевих завдань з питань цивільного захисту;</w:t>
            </w:r>
          </w:p>
          <w:p w:rsidR="00336536" w:rsidRPr="00AF210D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реалізації в </w:t>
            </w:r>
            <w:proofErr w:type="spellStart"/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апараті</w:t>
            </w:r>
            <w:proofErr w:type="spellEnd"/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Держкомтелерадіо (далі </w:t>
            </w:r>
            <w:r w:rsidR="001C6922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Апарат) та на підприємствах, установах і організаціях, що належать до сфери управління Держкомтелерадіо (далі </w:t>
            </w:r>
            <w:r w:rsidR="001C6922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підвідомчі організації) визначеного Правилами пожежної безпеки в Україні протипожежного режиму;</w:t>
            </w:r>
          </w:p>
          <w:p w:rsidR="00336536" w:rsidRPr="00AF210D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формування страхового фонду документів на захисні споруди цивільного захисту в </w:t>
            </w:r>
            <w:proofErr w:type="spellStart"/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Апараті</w:t>
            </w:r>
            <w:proofErr w:type="spellEnd"/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на підвідомчих організаціях;</w:t>
            </w:r>
          </w:p>
          <w:p w:rsidR="00336536" w:rsidRPr="00AF210D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ація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Апараті</w:t>
            </w:r>
            <w:proofErr w:type="spellEnd"/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заход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(навчання, інструктажі, перевірки)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які 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спрямовані на забезпечення належного рівні вміння працівників структурних підрозділів діяти в умовах загрози або виникнення надзвичайних ситуацій (особливо працівників, що входять до оперативного складу Функціональної підсистеми та Спеціалізованої служби);</w:t>
            </w:r>
          </w:p>
          <w:p w:rsidR="00336536" w:rsidRPr="00AF210D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участь в розробці документів</w:t>
            </w:r>
            <w:r w:rsidR="00447F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з якими здійснюється оповіщення Держкомтелерадіо про загрозу або виникнення надзвичайних ситуац</w:t>
            </w:r>
            <w:r w:rsidR="00C01C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ій в Україні (регіонах України);</w:t>
            </w:r>
          </w:p>
          <w:p w:rsidR="00336536" w:rsidRPr="00AF210D" w:rsidRDefault="00907D9B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здійснення</w:t>
            </w:r>
            <w:r w:rsidR="00336536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заходів щодо забезпечення працівників Апарату індивідуальними та колективними засобами захисту;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плануюч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документ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="00447F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з якими здійснюється евакуація працівників Апарату та періодичн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уточн</w:t>
            </w:r>
            <w:r w:rsidR="00907D9B"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ення порядку</w:t>
            </w:r>
            <w:r w:rsidRPr="00AF21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її проведення (узгоджувати із відповідними службами Київської міської державної адміністрації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місця зосередження працівників, транспортні засоби евакуації, маршрути виходу, райони куди прибувають працівники Апарату та інше з питань евакуації);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методичн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допомог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керівникам структурних підрозділів Апарату та 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ідвідомчи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організаці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ям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питань цивільного захисту (забезпечувати їх відповідними інструкціями та іншими документами);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здійснення постійного контролю за дотриманням працівниками Апарату та підвідомчих організацій визначеного Правилами пожежної безпеки в Україні протипожежного режиму (визначених вимог щодо забезпечення пожежної безпеки);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проект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Комплексного плану заходів із запобігання пожеж в Держкомтелерадіо, </w:t>
            </w:r>
            <w:proofErr w:type="spellStart"/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Загальнооб</w:t>
            </w:r>
            <w:r w:rsidR="00754BE1" w:rsidRPr="00754B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єктової</w:t>
            </w:r>
            <w:proofErr w:type="spellEnd"/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інструкції про заходи пожежної безпеки для працівників Державного комітету телебачення і радіомовлення України, Перспективного плану заходів щодо вдосконалення пожежної безпеки в адміністративному будинку Держкомтелерадіо та інших керівних документів з питань пожежної безпеки;</w:t>
            </w:r>
          </w:p>
          <w:p w:rsidR="00336536" w:rsidRPr="00336536" w:rsidRDefault="00907D9B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опосвідчення</w:t>
            </w:r>
            <w:proofErr w:type="spellEnd"/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безпечного стану наявних в приміщеннях Держкомтелерадіо електросилового устаткування та іншого пожежонебезпечного при використанні обладнання і приладів;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перевір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працездатн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07D9B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 встановленою періодичністю 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(технічний стан, збереження, своєчасне обслуговування, ремонт, своєчасність заміни) наявних в </w:t>
            </w:r>
            <w:proofErr w:type="spellStart"/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Апараті</w:t>
            </w:r>
            <w:proofErr w:type="spellEnd"/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засобів протипожежного захисту. Вжива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термінов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заход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щодо відновлення працездатності засобів протипожежного захисту у разі їхнього виходу з ладу або пошкодження;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едення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Апараті</w:t>
            </w:r>
            <w:proofErr w:type="spellEnd"/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організаційн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технічн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інші заход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ів, які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спрямовані на попередження пожеж;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контрол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 за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утримання</w:t>
            </w:r>
            <w:r w:rsidR="00907D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приміщень Держкомтелерадіо відповідно до вимог Правил пожежної безпеки в Україні та спільно з керівниками структурних підрозділів Апарату забезпеч</w:t>
            </w:r>
            <w:r w:rsidR="00085E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їхн</w:t>
            </w:r>
            <w:r w:rsidR="00085E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ього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належн</w:t>
            </w:r>
            <w:r w:rsidR="00085E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протипожежн</w:t>
            </w:r>
            <w:r w:rsidR="00085E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стан</w:t>
            </w:r>
            <w:r w:rsidR="00085E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336536" w:rsidRPr="00336536" w:rsidRDefault="00085E42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діяльно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добровільної пожежної дружини Держкомтелерадіо;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</w:t>
            </w:r>
            <w:r w:rsidR="00085E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працівників Апарату та підвідомчих організацій проект</w:t>
            </w:r>
            <w:r w:rsidR="00447F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положень, інструкцій та інших нормативних документів з питань пожежної безпеки;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ація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пров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едення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визначеними категоріями працівників Апарату навчан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інструктажі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метою вдосконалення (перевірки) їхніх знань з питань пожежної безпеки;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нада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керівництву Держкомтелерадіо </w:t>
            </w:r>
            <w:r w:rsidR="00B84D8B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 встановленою періодичністю 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звітн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стосовно стану пожежної безпеки в </w:t>
            </w:r>
            <w:proofErr w:type="spellStart"/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Апараті</w:t>
            </w:r>
            <w:proofErr w:type="spellEnd"/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підвідомчих організаціях;</w:t>
            </w:r>
          </w:p>
          <w:p w:rsidR="00336536" w:rsidRPr="00336536" w:rsidRDefault="00B84D8B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здійснення 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випадків пожеж та їх наслідків в </w:t>
            </w:r>
            <w:proofErr w:type="spellStart"/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Апараті</w:t>
            </w:r>
            <w:proofErr w:type="spellEnd"/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підвідомчих організаціях (прове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ення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аналіз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причин їх виникнення, розроб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пропозиці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щодо недопущення подібного в подальшому);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участь в проведенні службових розслідувань випадків пожеж;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методичн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допомог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керівникам структурних підрозділів Апарату та підвідомчи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організаці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ям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питань пожежної безпеки (забезпеч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 відповідними правилами, стандартами, нормами, інструкціями та іншими нормативними актами);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страхов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фонду документів на захисні споруди цивільного захисту населення (які знаходяться на утриманні підвідомчих організацій та НСТУ, далі - захисні споруди);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здійсн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контрол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формуванням страхового фонду документів на захисні споруди в підвідомчих організаціях та НСТУ;</w:t>
            </w:r>
          </w:p>
          <w:p w:rsidR="00336536" w:rsidRPr="00336536" w:rsidRDefault="00B84D8B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ація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технічної інвентаризації захисних споруд та пода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ДСНС (згідно з Табелем термінових та строкових донесень з питань цивільного захисту) визначені звітні матеріали;</w:t>
            </w:r>
          </w:p>
          <w:p w:rsidR="00336536" w:rsidRPr="00336536" w:rsidRDefault="00336536" w:rsidP="00336536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участь у розробці проекту господарських потреб при формуванні щорічних бюджетних запитів Держкомтелерадіо (склада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кошторис</w:t>
            </w:r>
            <w:r w:rsidR="00B84D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витрат на придбання для працівників Апарату індивідуальних та колективних засобів захисту, засобів протипожежного захисту, проведення технічної інвентаризації та формування страхового фонду захисних споруд, іншого);</w:t>
            </w:r>
          </w:p>
          <w:p w:rsidR="00B30DD2" w:rsidRPr="00336536" w:rsidRDefault="00B84D8B" w:rsidP="00447F55">
            <w:pPr>
              <w:shd w:val="clear" w:color="auto" w:fill="FFFFFF"/>
              <w:spacing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дотримання в </w:t>
            </w:r>
            <w:proofErr w:type="spellStart"/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Апараті</w:t>
            </w:r>
            <w:proofErr w:type="spellEnd"/>
            <w:r w:rsidR="00336536" w:rsidRPr="00336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загальноприйнятих для державних установ правил пропуску відвідувачів (до структурних підрозділів і працівників Апарату) та порядку виносу (вивозу) із приміщень Держкомтелерадіо матеріальних цінностей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4E1F9E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50" w:type="dxa"/>
          </w:tcPr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7 500 грн., 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вислугу років, надбавка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ранг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державного службовця;</w:t>
            </w:r>
          </w:p>
          <w:p w:rsidR="00616638" w:rsidRPr="00DC1E77" w:rsidRDefault="00616638" w:rsidP="007F27B7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доплати та премії (відповідно до статті 52 Закону України «Про державну службу»)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4E1F9E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4E1F9E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" w:name="n72"/>
            <w:bookmarkEnd w:id="1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до якої додається резюме у довільній формі;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3"/>
            <w:bookmarkEnd w:id="2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частиною </w:t>
            </w:r>
            <w:hyperlink r:id="rId8" w:anchor="n13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hyperlink r:id="rId9" w:anchor="n14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очищення влади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4"/>
            <w:bookmarkEnd w:id="3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Національного агентства з питань запобігання корупції (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nazk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B30DD2" w:rsidRPr="00DC1E77" w:rsidRDefault="00616638" w:rsidP="009C3A31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подаються до 1</w:t>
            </w:r>
            <w:r w:rsidR="00D3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 2</w:t>
            </w:r>
            <w:r w:rsidR="00D3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2018 року за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Київ,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Прорізна, 2,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609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4E1F9E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10650" w:type="dxa"/>
          </w:tcPr>
          <w:p w:rsidR="00616638" w:rsidRPr="00DC1E77" w:rsidRDefault="00D3601A" w:rsidP="00D3601A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ня 2018 року 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7F55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 Київ, вул. 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Б. Хмельницького, 46, </w:t>
            </w:r>
            <w:proofErr w:type="spellStart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4E1F9E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616638" w:rsidRPr="00DC1E77" w:rsidRDefault="00616638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C92325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pStyle w:val="a4"/>
              <w:spacing w:before="60" w:beforeAutospacing="0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не нижче бакалавра, молодшого бакалавра 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pStyle w:val="rvps14"/>
              <w:spacing w:before="60" w:beforeAutospacing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616638" w:rsidRPr="00DC1E77" w:rsidRDefault="00616638" w:rsidP="00447F55">
            <w:pPr>
              <w:pStyle w:val="rvps14"/>
              <w:spacing w:before="60" w:beforeAutospacing="0"/>
              <w:ind w:left="113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5C750D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6A16B7" w:rsidRPr="00B6573E">
        <w:tc>
          <w:tcPr>
            <w:tcW w:w="577" w:type="dxa"/>
          </w:tcPr>
          <w:p w:rsidR="006A16B7" w:rsidRPr="00AF210D" w:rsidRDefault="006A16B7" w:rsidP="001A3617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A16B7" w:rsidRPr="007B0ED6" w:rsidRDefault="006A16B7" w:rsidP="007B0ED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10650" w:type="dxa"/>
          </w:tcPr>
          <w:p w:rsidR="006A16B7" w:rsidRPr="00AF210D" w:rsidRDefault="006A16B7" w:rsidP="00E96F19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7B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рівень досвідченого користувача; досвід роботи з офісним пакетом Microsoft Office (Word, Excel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Power</w:t>
            </w:r>
            <w:proofErr w:type="spellEnd"/>
            <w:r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D807B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</w:t>
            </w:r>
          </w:p>
        </w:tc>
      </w:tr>
      <w:tr w:rsidR="006A16B7" w:rsidRPr="00B6573E">
        <w:tc>
          <w:tcPr>
            <w:tcW w:w="577" w:type="dxa"/>
          </w:tcPr>
          <w:p w:rsidR="006A16B7" w:rsidRPr="00AF210D" w:rsidRDefault="006A16B7" w:rsidP="001A3617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A16B7" w:rsidRPr="007B0ED6" w:rsidRDefault="006A16B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 ділові якості</w:t>
            </w:r>
          </w:p>
          <w:p w:rsidR="006A16B7" w:rsidRPr="007B0ED6" w:rsidRDefault="006A16B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0650" w:type="dxa"/>
          </w:tcPr>
          <w:p w:rsidR="006A16B7" w:rsidRPr="002B475D" w:rsidRDefault="006A16B7" w:rsidP="00E96F19">
            <w:pPr>
              <w:spacing w:before="60" w:after="60" w:line="240" w:lineRule="auto"/>
              <w:ind w:left="57"/>
              <w:rPr>
                <w:lang w:val="uk-UA" w:eastAsia="uk-UA"/>
              </w:rPr>
            </w:pPr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аналітичні здібності, вміння активно слухати, виваженість, здатність концентруватись на деталях, уміння дотримуватись субординації, адаптивність, </w:t>
            </w:r>
            <w:proofErr w:type="spellStart"/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стресостійкість</w:t>
            </w:r>
            <w:proofErr w:type="spellEnd"/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оперативність, вміння аргументовано доводити власну точку зору, уміння працювати в команді</w:t>
            </w:r>
          </w:p>
        </w:tc>
      </w:tr>
      <w:tr w:rsidR="006A16B7" w:rsidRPr="00B6573E">
        <w:tc>
          <w:tcPr>
            <w:tcW w:w="577" w:type="dxa"/>
          </w:tcPr>
          <w:p w:rsidR="006A16B7" w:rsidRPr="00AF210D" w:rsidRDefault="006A16B7" w:rsidP="001A3617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A16B7" w:rsidRPr="007B0ED6" w:rsidRDefault="006A16B7" w:rsidP="007B0ED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</w:tc>
        <w:tc>
          <w:tcPr>
            <w:tcW w:w="10650" w:type="dxa"/>
          </w:tcPr>
          <w:p w:rsidR="006A16B7" w:rsidRPr="002B475D" w:rsidRDefault="006A16B7" w:rsidP="00E96F19">
            <w:pPr>
              <w:spacing w:before="60" w:after="60" w:line="240" w:lineRule="auto"/>
              <w:ind w:left="57"/>
              <w:rPr>
                <w:lang w:val="uk-UA" w:eastAsia="uk-UA"/>
              </w:rPr>
            </w:pPr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ініціативність, надійність, порядність, дисциплінованість, тактовність, готовність допомогти, емоційна стабільність, комунікабельність, повага до інших, відповідальність, неупередженість</w:t>
            </w:r>
          </w:p>
        </w:tc>
      </w:tr>
      <w:tr w:rsidR="006A16B7" w:rsidRPr="00AF210D">
        <w:tc>
          <w:tcPr>
            <w:tcW w:w="15337" w:type="dxa"/>
            <w:gridSpan w:val="3"/>
          </w:tcPr>
          <w:p w:rsidR="006A16B7" w:rsidRPr="00AF210D" w:rsidRDefault="006A16B7" w:rsidP="006E156A">
            <w:pPr>
              <w:spacing w:after="0" w:line="240" w:lineRule="auto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6A16B7" w:rsidRPr="00AF210D">
        <w:tc>
          <w:tcPr>
            <w:tcW w:w="4687" w:type="dxa"/>
            <w:gridSpan w:val="2"/>
          </w:tcPr>
          <w:p w:rsidR="006A16B7" w:rsidRPr="00AF210D" w:rsidRDefault="006A16B7" w:rsidP="00C268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A16B7" w:rsidRPr="00AF210D" w:rsidRDefault="006A16B7" w:rsidP="00C268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6A16B7" w:rsidRPr="00AF210D">
        <w:tc>
          <w:tcPr>
            <w:tcW w:w="577" w:type="dxa"/>
          </w:tcPr>
          <w:p w:rsidR="006A16B7" w:rsidRPr="00AF210D" w:rsidRDefault="006A16B7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A16B7" w:rsidRPr="00AF210D" w:rsidRDefault="006A16B7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6A16B7" w:rsidRPr="00AF210D" w:rsidRDefault="006A16B7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0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6A16B7" w:rsidRPr="00AF210D" w:rsidRDefault="006A16B7" w:rsidP="00EA7E71">
            <w:pPr>
              <w:tabs>
                <w:tab w:val="left" w:pos="64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AF210D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AF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AF210D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 </w:t>
            </w: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AF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3" w:tgtFrame="_blank" w:history="1">
              <w:r w:rsidRPr="00AF210D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6A16B7" w:rsidRPr="00B6573E">
        <w:tc>
          <w:tcPr>
            <w:tcW w:w="577" w:type="dxa"/>
          </w:tcPr>
          <w:p w:rsidR="006A16B7" w:rsidRPr="00AF210D" w:rsidRDefault="006A16B7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A16B7" w:rsidRPr="00AF210D" w:rsidRDefault="006A16B7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6A16B7" w:rsidRPr="00AF210D" w:rsidRDefault="006A16B7" w:rsidP="005143EB">
            <w:pPr>
              <w:spacing w:after="120" w:line="240" w:lineRule="auto"/>
              <w:ind w:left="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Знання:</w:t>
            </w:r>
          </w:p>
          <w:p w:rsidR="006A16B7" w:rsidRPr="00AF210D" w:rsidRDefault="006A16B7" w:rsidP="00DA6D10">
            <w:pPr>
              <w:numPr>
                <w:ilvl w:val="0"/>
                <w:numId w:val="7"/>
              </w:numPr>
              <w:tabs>
                <w:tab w:val="clear" w:pos="720"/>
                <w:tab w:val="left" w:pos="-20"/>
              </w:tabs>
              <w:suppressAutoHyphens/>
              <w:spacing w:before="28" w:after="28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Закону України «Про центральні органи виконавчої влади»;</w:t>
            </w:r>
          </w:p>
          <w:p w:rsidR="006A16B7" w:rsidRPr="00AF210D" w:rsidRDefault="006A16B7" w:rsidP="00D87545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Закону України «Про охорону праці»;</w:t>
            </w:r>
          </w:p>
          <w:p w:rsidR="006A16B7" w:rsidRPr="00AF210D" w:rsidRDefault="006A16B7" w:rsidP="00D3601A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before="28" w:after="28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Закону України «Про телебачення і радіомовлення»;</w:t>
            </w:r>
          </w:p>
          <w:p w:rsidR="006A16B7" w:rsidRPr="00AF210D" w:rsidRDefault="006A16B7" w:rsidP="00D87545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before="120" w:after="12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Закону України «Про доступ до публічної інформації»;</w:t>
            </w:r>
          </w:p>
          <w:p w:rsidR="006A16B7" w:rsidRPr="00AF210D" w:rsidRDefault="006A16B7" w:rsidP="00D87545">
            <w:pPr>
              <w:spacing w:before="120"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Закону України «Про захист персональних даних»;</w:t>
            </w:r>
          </w:p>
          <w:p w:rsidR="006A16B7" w:rsidRPr="00AF210D" w:rsidRDefault="006A16B7" w:rsidP="00D8754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- Постанови Кабінету Міністрів України «Про затвердження Положення про Державний комітет телебачення і радіомовлення України»;</w:t>
            </w:r>
          </w:p>
          <w:p w:rsidR="006A16B7" w:rsidRPr="00AF210D" w:rsidRDefault="006A16B7" w:rsidP="00D8754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Кодексу цивільного захисту України;</w:t>
            </w:r>
          </w:p>
          <w:p w:rsidR="006A16B7" w:rsidRPr="00AF210D" w:rsidRDefault="006A16B7" w:rsidP="00AF210D">
            <w:pPr>
              <w:spacing w:before="120"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Нормативно-правових актів у сфері охорони праці, цивільного захисту, пожежної безпеки, обліку матеріальних цінностей; з питань експлуатації устаткування та систем комунального господарства, порядку технічного обслуговування обчислювальної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офісної, побутової техніки й </w:t>
            </w:r>
            <w:r w:rsidRPr="00AF210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телефонної мережі та ліфтів</w:t>
            </w:r>
          </w:p>
        </w:tc>
      </w:tr>
    </w:tbl>
    <w:p w:rsidR="00616638" w:rsidRPr="00AF210D" w:rsidRDefault="0061663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6638" w:rsidRPr="00AF210D" w:rsidSect="00670AE8">
      <w:headerReference w:type="default" r:id="rId14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99" w:rsidRDefault="00A05B99" w:rsidP="00F33DE3">
      <w:pPr>
        <w:spacing w:after="0" w:line="240" w:lineRule="auto"/>
      </w:pPr>
      <w:r>
        <w:separator/>
      </w:r>
    </w:p>
  </w:endnote>
  <w:endnote w:type="continuationSeparator" w:id="0">
    <w:p w:rsidR="00A05B99" w:rsidRDefault="00A05B99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99" w:rsidRDefault="00A05B99" w:rsidP="00F33DE3">
      <w:pPr>
        <w:spacing w:after="0" w:line="240" w:lineRule="auto"/>
      </w:pPr>
      <w:r>
        <w:separator/>
      </w:r>
    </w:p>
  </w:footnote>
  <w:footnote w:type="continuationSeparator" w:id="0">
    <w:p w:rsidR="00A05B99" w:rsidRDefault="00A05B99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38" w:rsidRDefault="00A05B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73E">
      <w:rPr>
        <w:noProof/>
      </w:rPr>
      <w:t>6</w:t>
    </w:r>
    <w:r>
      <w:rPr>
        <w:noProof/>
      </w:rPr>
      <w:fldChar w:fldCharType="end"/>
    </w:r>
  </w:p>
  <w:p w:rsidR="00616638" w:rsidRDefault="00616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5">
    <w:nsid w:val="43420924"/>
    <w:multiLevelType w:val="hybridMultilevel"/>
    <w:tmpl w:val="B192DD5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5"/>
    <w:rsid w:val="0000512C"/>
    <w:rsid w:val="000230FE"/>
    <w:rsid w:val="00025B23"/>
    <w:rsid w:val="00030BBC"/>
    <w:rsid w:val="00041709"/>
    <w:rsid w:val="000603A0"/>
    <w:rsid w:val="00062A3E"/>
    <w:rsid w:val="00070FF5"/>
    <w:rsid w:val="00085E42"/>
    <w:rsid w:val="0008690D"/>
    <w:rsid w:val="000D63EA"/>
    <w:rsid w:val="000E5BE6"/>
    <w:rsid w:val="000E6567"/>
    <w:rsid w:val="000F155A"/>
    <w:rsid w:val="000F33E3"/>
    <w:rsid w:val="00126F47"/>
    <w:rsid w:val="00136E4B"/>
    <w:rsid w:val="0014077C"/>
    <w:rsid w:val="00156753"/>
    <w:rsid w:val="00161FC7"/>
    <w:rsid w:val="001931B4"/>
    <w:rsid w:val="001A3617"/>
    <w:rsid w:val="001B3031"/>
    <w:rsid w:val="001B5293"/>
    <w:rsid w:val="001B7A4B"/>
    <w:rsid w:val="001C3570"/>
    <w:rsid w:val="001C6922"/>
    <w:rsid w:val="001D2D26"/>
    <w:rsid w:val="001E3240"/>
    <w:rsid w:val="00200451"/>
    <w:rsid w:val="002047A5"/>
    <w:rsid w:val="0020541A"/>
    <w:rsid w:val="0022545E"/>
    <w:rsid w:val="00225538"/>
    <w:rsid w:val="00243757"/>
    <w:rsid w:val="0025237F"/>
    <w:rsid w:val="002545E9"/>
    <w:rsid w:val="00257740"/>
    <w:rsid w:val="00257C9E"/>
    <w:rsid w:val="0027270F"/>
    <w:rsid w:val="00275C1E"/>
    <w:rsid w:val="002836BD"/>
    <w:rsid w:val="00287308"/>
    <w:rsid w:val="002B03CB"/>
    <w:rsid w:val="002B475D"/>
    <w:rsid w:val="002B54F9"/>
    <w:rsid w:val="002F4FCB"/>
    <w:rsid w:val="00305053"/>
    <w:rsid w:val="003068F7"/>
    <w:rsid w:val="00321B07"/>
    <w:rsid w:val="0033054B"/>
    <w:rsid w:val="00336536"/>
    <w:rsid w:val="00344B7E"/>
    <w:rsid w:val="00346A50"/>
    <w:rsid w:val="0034717B"/>
    <w:rsid w:val="00352833"/>
    <w:rsid w:val="00353204"/>
    <w:rsid w:val="00354C0E"/>
    <w:rsid w:val="00355BCE"/>
    <w:rsid w:val="003577CE"/>
    <w:rsid w:val="00364200"/>
    <w:rsid w:val="003812B8"/>
    <w:rsid w:val="00390887"/>
    <w:rsid w:val="00396952"/>
    <w:rsid w:val="003C7EEA"/>
    <w:rsid w:val="003F6CA8"/>
    <w:rsid w:val="00423850"/>
    <w:rsid w:val="004317AA"/>
    <w:rsid w:val="00443EC1"/>
    <w:rsid w:val="00447130"/>
    <w:rsid w:val="00447F55"/>
    <w:rsid w:val="00456271"/>
    <w:rsid w:val="00466C12"/>
    <w:rsid w:val="0047124C"/>
    <w:rsid w:val="004719A4"/>
    <w:rsid w:val="0047426A"/>
    <w:rsid w:val="00482081"/>
    <w:rsid w:val="00483BCA"/>
    <w:rsid w:val="0049151C"/>
    <w:rsid w:val="004A6A46"/>
    <w:rsid w:val="004B1866"/>
    <w:rsid w:val="004B1B9A"/>
    <w:rsid w:val="004B6465"/>
    <w:rsid w:val="004B7659"/>
    <w:rsid w:val="004C74B1"/>
    <w:rsid w:val="004D39C0"/>
    <w:rsid w:val="004E1F9E"/>
    <w:rsid w:val="00505515"/>
    <w:rsid w:val="005143EB"/>
    <w:rsid w:val="005265E1"/>
    <w:rsid w:val="00535D58"/>
    <w:rsid w:val="00544C3C"/>
    <w:rsid w:val="00546CA7"/>
    <w:rsid w:val="00564EDC"/>
    <w:rsid w:val="005721C2"/>
    <w:rsid w:val="00573228"/>
    <w:rsid w:val="00584E84"/>
    <w:rsid w:val="0059259B"/>
    <w:rsid w:val="005C750D"/>
    <w:rsid w:val="005D011D"/>
    <w:rsid w:val="005D12D9"/>
    <w:rsid w:val="005D1327"/>
    <w:rsid w:val="005D3290"/>
    <w:rsid w:val="005D6521"/>
    <w:rsid w:val="005D796F"/>
    <w:rsid w:val="005E1CA2"/>
    <w:rsid w:val="005E249B"/>
    <w:rsid w:val="006058A3"/>
    <w:rsid w:val="00616638"/>
    <w:rsid w:val="006202C8"/>
    <w:rsid w:val="00620BA8"/>
    <w:rsid w:val="006256D7"/>
    <w:rsid w:val="00631D52"/>
    <w:rsid w:val="00634AE4"/>
    <w:rsid w:val="00636BA4"/>
    <w:rsid w:val="006548B2"/>
    <w:rsid w:val="0065612B"/>
    <w:rsid w:val="00661CA2"/>
    <w:rsid w:val="00666382"/>
    <w:rsid w:val="00670AE8"/>
    <w:rsid w:val="0067366F"/>
    <w:rsid w:val="006774D0"/>
    <w:rsid w:val="0067779E"/>
    <w:rsid w:val="0068358B"/>
    <w:rsid w:val="0068662E"/>
    <w:rsid w:val="0069451D"/>
    <w:rsid w:val="0069494A"/>
    <w:rsid w:val="006A16B7"/>
    <w:rsid w:val="006B03DD"/>
    <w:rsid w:val="006B1B53"/>
    <w:rsid w:val="006C3A5E"/>
    <w:rsid w:val="006C66CE"/>
    <w:rsid w:val="006E156A"/>
    <w:rsid w:val="006E68FF"/>
    <w:rsid w:val="00706B62"/>
    <w:rsid w:val="00714870"/>
    <w:rsid w:val="00716707"/>
    <w:rsid w:val="00717CEB"/>
    <w:rsid w:val="00723EE1"/>
    <w:rsid w:val="00725A7F"/>
    <w:rsid w:val="00736459"/>
    <w:rsid w:val="00741D8E"/>
    <w:rsid w:val="00754BE1"/>
    <w:rsid w:val="00755722"/>
    <w:rsid w:val="007878B5"/>
    <w:rsid w:val="007916A5"/>
    <w:rsid w:val="00795EB3"/>
    <w:rsid w:val="007A208B"/>
    <w:rsid w:val="007B0ED6"/>
    <w:rsid w:val="007C12D4"/>
    <w:rsid w:val="007C4A55"/>
    <w:rsid w:val="007E0DDB"/>
    <w:rsid w:val="007F1339"/>
    <w:rsid w:val="007F27B7"/>
    <w:rsid w:val="007F303B"/>
    <w:rsid w:val="0080747B"/>
    <w:rsid w:val="00807F79"/>
    <w:rsid w:val="0083708A"/>
    <w:rsid w:val="00851611"/>
    <w:rsid w:val="00861B75"/>
    <w:rsid w:val="0086385D"/>
    <w:rsid w:val="00873E17"/>
    <w:rsid w:val="00875E18"/>
    <w:rsid w:val="0088020D"/>
    <w:rsid w:val="00887133"/>
    <w:rsid w:val="00887F5D"/>
    <w:rsid w:val="008C2575"/>
    <w:rsid w:val="008C5D11"/>
    <w:rsid w:val="008E06F5"/>
    <w:rsid w:val="008F1F86"/>
    <w:rsid w:val="008F381D"/>
    <w:rsid w:val="008F72B6"/>
    <w:rsid w:val="009004B6"/>
    <w:rsid w:val="00904312"/>
    <w:rsid w:val="009064B4"/>
    <w:rsid w:val="00907D9B"/>
    <w:rsid w:val="00916815"/>
    <w:rsid w:val="00917660"/>
    <w:rsid w:val="0092623E"/>
    <w:rsid w:val="00935E69"/>
    <w:rsid w:val="009540D5"/>
    <w:rsid w:val="009561D2"/>
    <w:rsid w:val="00966FEB"/>
    <w:rsid w:val="00967DC3"/>
    <w:rsid w:val="00982F9D"/>
    <w:rsid w:val="00986042"/>
    <w:rsid w:val="009956C2"/>
    <w:rsid w:val="009A0D16"/>
    <w:rsid w:val="009A183F"/>
    <w:rsid w:val="009A2B86"/>
    <w:rsid w:val="009B0B64"/>
    <w:rsid w:val="009B48F9"/>
    <w:rsid w:val="009C3A31"/>
    <w:rsid w:val="009D1022"/>
    <w:rsid w:val="009D68D9"/>
    <w:rsid w:val="009E1F93"/>
    <w:rsid w:val="00A03609"/>
    <w:rsid w:val="00A05B99"/>
    <w:rsid w:val="00A26780"/>
    <w:rsid w:val="00A313EC"/>
    <w:rsid w:val="00A36146"/>
    <w:rsid w:val="00A37075"/>
    <w:rsid w:val="00A63682"/>
    <w:rsid w:val="00A65FAD"/>
    <w:rsid w:val="00AB0358"/>
    <w:rsid w:val="00AB1AAF"/>
    <w:rsid w:val="00AB3114"/>
    <w:rsid w:val="00AB6072"/>
    <w:rsid w:val="00AC5CFE"/>
    <w:rsid w:val="00AE39B9"/>
    <w:rsid w:val="00AE5E4E"/>
    <w:rsid w:val="00AF14FD"/>
    <w:rsid w:val="00AF210D"/>
    <w:rsid w:val="00B00013"/>
    <w:rsid w:val="00B01BB9"/>
    <w:rsid w:val="00B04B3A"/>
    <w:rsid w:val="00B16B44"/>
    <w:rsid w:val="00B237C7"/>
    <w:rsid w:val="00B2731C"/>
    <w:rsid w:val="00B30DD2"/>
    <w:rsid w:val="00B41FFC"/>
    <w:rsid w:val="00B42590"/>
    <w:rsid w:val="00B42E4C"/>
    <w:rsid w:val="00B4325B"/>
    <w:rsid w:val="00B50B2C"/>
    <w:rsid w:val="00B6573E"/>
    <w:rsid w:val="00B663BB"/>
    <w:rsid w:val="00B6792B"/>
    <w:rsid w:val="00B84D8B"/>
    <w:rsid w:val="00B96832"/>
    <w:rsid w:val="00BA1E41"/>
    <w:rsid w:val="00BA65AE"/>
    <w:rsid w:val="00BC1003"/>
    <w:rsid w:val="00BC1400"/>
    <w:rsid w:val="00C01CFA"/>
    <w:rsid w:val="00C02B93"/>
    <w:rsid w:val="00C23628"/>
    <w:rsid w:val="00C2685C"/>
    <w:rsid w:val="00C6539D"/>
    <w:rsid w:val="00C7375C"/>
    <w:rsid w:val="00C85212"/>
    <w:rsid w:val="00C859DB"/>
    <w:rsid w:val="00C92325"/>
    <w:rsid w:val="00C9469B"/>
    <w:rsid w:val="00CA657A"/>
    <w:rsid w:val="00CB7FF7"/>
    <w:rsid w:val="00CC37E8"/>
    <w:rsid w:val="00CD41E9"/>
    <w:rsid w:val="00CE7144"/>
    <w:rsid w:val="00CF4C3F"/>
    <w:rsid w:val="00D00401"/>
    <w:rsid w:val="00D13E80"/>
    <w:rsid w:val="00D31373"/>
    <w:rsid w:val="00D35193"/>
    <w:rsid w:val="00D3601A"/>
    <w:rsid w:val="00D40069"/>
    <w:rsid w:val="00D86761"/>
    <w:rsid w:val="00D87545"/>
    <w:rsid w:val="00DA0A7A"/>
    <w:rsid w:val="00DA1938"/>
    <w:rsid w:val="00DA6D10"/>
    <w:rsid w:val="00DC1E77"/>
    <w:rsid w:val="00DF764B"/>
    <w:rsid w:val="00E01C18"/>
    <w:rsid w:val="00E0350C"/>
    <w:rsid w:val="00E16A2D"/>
    <w:rsid w:val="00E37DFF"/>
    <w:rsid w:val="00E45EB1"/>
    <w:rsid w:val="00E5192C"/>
    <w:rsid w:val="00E534E1"/>
    <w:rsid w:val="00E556F1"/>
    <w:rsid w:val="00E809B3"/>
    <w:rsid w:val="00EA7E71"/>
    <w:rsid w:val="00EB2CD8"/>
    <w:rsid w:val="00EB4942"/>
    <w:rsid w:val="00EC0C06"/>
    <w:rsid w:val="00EF7CF7"/>
    <w:rsid w:val="00F04F3C"/>
    <w:rsid w:val="00F131B5"/>
    <w:rsid w:val="00F25708"/>
    <w:rsid w:val="00F31B65"/>
    <w:rsid w:val="00F33DE3"/>
    <w:rsid w:val="00F35BB7"/>
    <w:rsid w:val="00F36A04"/>
    <w:rsid w:val="00F46921"/>
    <w:rsid w:val="00F57CCB"/>
    <w:rsid w:val="00F65201"/>
    <w:rsid w:val="00F85587"/>
    <w:rsid w:val="00F95D49"/>
    <w:rsid w:val="00FB226D"/>
    <w:rsid w:val="00FC36FA"/>
    <w:rsid w:val="00FC6232"/>
    <w:rsid w:val="00FE0F71"/>
    <w:rsid w:val="00FE3CCB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</w:style>
  <w:style w:type="paragraph" w:styleId="a4">
    <w:name w:val="Normal (Web)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character" w:customStyle="1" w:styleId="rvts23">
    <w:name w:val="rvts23"/>
    <w:basedOn w:val="a0"/>
    <w:uiPriority w:val="99"/>
    <w:rsid w:val="006E156A"/>
  </w:style>
  <w:style w:type="paragraph" w:customStyle="1" w:styleId="1">
    <w:name w:val="Обычный (веб)1"/>
    <w:basedOn w:val="a"/>
    <w:uiPriority w:val="99"/>
    <w:rsid w:val="00FE0F7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e">
    <w:name w:val="Нормальний текст"/>
    <w:basedOn w:val="a"/>
    <w:uiPriority w:val="99"/>
    <w:rsid w:val="00535D5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5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dry@co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6191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OptiPlex_210.145</dc:creator>
  <cp:lastModifiedBy>User</cp:lastModifiedBy>
  <cp:revision>2</cp:revision>
  <cp:lastPrinted>2018-05-10T09:09:00Z</cp:lastPrinted>
  <dcterms:created xsi:type="dcterms:W3CDTF">2018-05-10T11:25:00Z</dcterms:created>
  <dcterms:modified xsi:type="dcterms:W3CDTF">2018-05-10T11:25:00Z</dcterms:modified>
</cp:coreProperties>
</file>