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Verdana" w:hAnsi="Verdana"/>
          <w:sz w:val="20"/>
          <w:szCs w:val="20"/>
        </w:rPr>
      </w:pPr>
      <w:r>
        <w:rPr>
          <w:rFonts w:ascii="Verdana" w:hAnsi="Verdana"/>
          <w:sz w:val="20"/>
          <w:szCs w:val="20"/>
        </w:rPr>
        <w:t>Додаток до наказу Держкомтелерадіо</w:t>
      </w:r>
    </w:p>
    <w:p>
      <w:pPr>
        <w:pStyle w:val="Normal"/>
        <w:spacing w:lineRule="auto" w:line="240" w:before="0" w:after="0"/>
        <w:jc w:val="right"/>
        <w:rPr>
          <w:rFonts w:ascii="Verdana" w:hAnsi="Verdana"/>
          <w:sz w:val="20"/>
          <w:szCs w:val="20"/>
        </w:rPr>
      </w:pPr>
      <w:r>
        <w:rPr>
          <w:rFonts w:ascii="Verdana" w:hAnsi="Verdana"/>
          <w:sz w:val="20"/>
          <w:szCs w:val="20"/>
        </w:rPr>
        <w:t>25.06.2018 року № 399</w:t>
      </w:r>
    </w:p>
    <w:p>
      <w:pPr>
        <w:pStyle w:val="Normal"/>
        <w:spacing w:lineRule="auto" w:line="240" w:before="0" w:after="0"/>
        <w:jc w:val="right"/>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Заходи</w:t>
      </w:r>
    </w:p>
    <w:p>
      <w:pPr>
        <w:pStyle w:val="Normal"/>
        <w:spacing w:lineRule="auto" w:line="240" w:before="0" w:after="0"/>
        <w:jc w:val="center"/>
        <w:rPr>
          <w:rFonts w:ascii="Verdana" w:hAnsi="Verdana"/>
          <w:b/>
          <w:b/>
          <w:sz w:val="20"/>
          <w:szCs w:val="20"/>
        </w:rPr>
      </w:pPr>
      <w:r>
        <w:rPr>
          <w:rFonts w:ascii="Verdana" w:hAnsi="Verdana"/>
          <w:b/>
          <w:sz w:val="20"/>
          <w:szCs w:val="20"/>
        </w:rPr>
        <w:t>з реалізації експертних пропозицій громадської організації «Українська Демократія» за результатами проведення громадської експертизи діяльності Держкомтелерадіо</w:t>
      </w:r>
    </w:p>
    <w:tbl>
      <w:tblPr>
        <w:tblStyle w:val="a3"/>
        <w:tblW w:w="15354" w:type="dxa"/>
        <w:jc w:val="left"/>
        <w:tblInd w:w="0" w:type="dxa"/>
        <w:tblCellMar>
          <w:top w:w="0" w:type="dxa"/>
          <w:left w:w="108" w:type="dxa"/>
          <w:bottom w:w="0" w:type="dxa"/>
          <w:right w:w="108" w:type="dxa"/>
        </w:tblCellMar>
        <w:tblLook w:val="04a0" w:noHBand="0" w:noVBand="1" w:firstColumn="1" w:lastRow="0" w:lastColumn="0" w:firstRow="1"/>
      </w:tblPr>
      <w:tblGrid>
        <w:gridCol w:w="675"/>
        <w:gridCol w:w="7001"/>
        <w:gridCol w:w="2637"/>
        <w:gridCol w:w="5040"/>
      </w:tblGrid>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w:t>
            </w:r>
          </w:p>
          <w:p>
            <w:pPr>
              <w:pStyle w:val="Normal"/>
              <w:spacing w:lineRule="auto" w:line="240" w:before="0" w:after="0"/>
              <w:rPr>
                <w:rFonts w:ascii="Verdana" w:hAnsi="Verdana"/>
                <w:sz w:val="20"/>
                <w:szCs w:val="20"/>
              </w:rPr>
            </w:pPr>
            <w:r>
              <w:rPr>
                <w:rFonts w:ascii="Verdana" w:hAnsi="Verdana"/>
                <w:sz w:val="20"/>
                <w:szCs w:val="20"/>
              </w:rPr>
              <w:t>з/п</w:t>
            </w:r>
          </w:p>
        </w:tc>
        <w:tc>
          <w:tcPr>
            <w:tcW w:w="7001" w:type="dxa"/>
            <w:tcBorders/>
          </w:tcPr>
          <w:p>
            <w:pPr>
              <w:pStyle w:val="Normal"/>
              <w:spacing w:lineRule="auto" w:line="240" w:before="0" w:after="0"/>
              <w:jc w:val="center"/>
              <w:rPr>
                <w:rFonts w:ascii="Verdana" w:hAnsi="Verdana"/>
                <w:sz w:val="20"/>
                <w:szCs w:val="20"/>
              </w:rPr>
            </w:pPr>
            <w:r>
              <w:rPr>
                <w:rFonts w:ascii="Verdana" w:hAnsi="Verdana"/>
                <w:sz w:val="20"/>
                <w:szCs w:val="20"/>
              </w:rPr>
              <w:t>Зміст заходів</w:t>
            </w:r>
          </w:p>
        </w:tc>
        <w:tc>
          <w:tcPr>
            <w:tcW w:w="2637" w:type="dxa"/>
            <w:tcBorders/>
          </w:tcPr>
          <w:p>
            <w:pPr>
              <w:pStyle w:val="Normal"/>
              <w:spacing w:lineRule="auto" w:line="240" w:before="0" w:after="0"/>
              <w:jc w:val="center"/>
              <w:rPr>
                <w:rFonts w:ascii="Verdana" w:hAnsi="Verdana"/>
                <w:sz w:val="20"/>
                <w:szCs w:val="20"/>
              </w:rPr>
            </w:pPr>
            <w:r>
              <w:rPr>
                <w:rFonts w:ascii="Verdana" w:hAnsi="Verdana"/>
                <w:sz w:val="20"/>
                <w:szCs w:val="20"/>
              </w:rPr>
              <w:t>Термін виконання</w:t>
            </w:r>
          </w:p>
        </w:tc>
        <w:tc>
          <w:tcPr>
            <w:tcW w:w="5040" w:type="dxa"/>
            <w:tcBorders/>
          </w:tcPr>
          <w:p>
            <w:pPr>
              <w:pStyle w:val="Normal"/>
              <w:spacing w:lineRule="auto" w:line="240" w:before="0" w:after="0"/>
              <w:jc w:val="center"/>
              <w:rPr>
                <w:rFonts w:ascii="Verdana" w:hAnsi="Verdana"/>
                <w:sz w:val="20"/>
                <w:szCs w:val="20"/>
              </w:rPr>
            </w:pPr>
            <w:r>
              <w:rPr>
                <w:rFonts w:ascii="Verdana" w:hAnsi="Verdana"/>
                <w:sz w:val="20"/>
                <w:szCs w:val="20"/>
              </w:rPr>
              <w:t>Відповідальні виконавці</w:t>
            </w:r>
          </w:p>
        </w:tc>
      </w:tr>
      <w:tr>
        <w:trPr>
          <w:trHeight w:val="175" w:hRule="atLeast"/>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1.</w:t>
            </w:r>
          </w:p>
        </w:tc>
        <w:tc>
          <w:tcPr>
            <w:tcW w:w="7001" w:type="dxa"/>
            <w:tcBorders/>
          </w:tcPr>
          <w:p>
            <w:pPr>
              <w:pStyle w:val="Normal"/>
              <w:spacing w:lineRule="auto" w:line="240" w:before="0" w:after="0"/>
              <w:jc w:val="both"/>
              <w:rPr>
                <w:rFonts w:ascii="Verdana" w:hAnsi="Verdana"/>
                <w:sz w:val="20"/>
                <w:szCs w:val="20"/>
              </w:rPr>
            </w:pPr>
            <w:r>
              <w:rPr>
                <w:rFonts w:eastAsia="Times New Roman" w:cs="Times New Roman" w:ascii="Verdana" w:hAnsi="Verdana"/>
                <w:sz w:val="20"/>
                <w:szCs w:val="20"/>
                <w:lang w:eastAsia="ru-RU"/>
              </w:rPr>
              <w:t xml:space="preserve">Створити на офіційному веб-сайті Держкомтелерадіо в рамках існуючої рубрики «Консультації з громадськістю» підрубрики «Вивчення громадської думки» та «Публічне громадське обговорення» та </w:t>
            </w:r>
            <w:r>
              <w:rPr>
                <w:rFonts w:eastAsia="Times New Roman" w:cs="Times New Roman" w:ascii="Verdana" w:hAnsi="Verdana"/>
                <w:sz w:val="20"/>
                <w:szCs w:val="20"/>
                <w:lang w:eastAsia="uk-UA"/>
              </w:rPr>
              <w:t>забезпечити їх наповнення відповідно до Порядку проведення консультацій з громадськістю з питань формування та реалізації державної політики, затвердженим постановою Кабінету Міністрів України від 03 листопада 2010 року № 996</w:t>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Липень 2018 року</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Сектор консультацій з громадськістю та взаємодії зі ЗМІ</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2.</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t>З метою вивчення громадської думки згідно з пунктом 22 Порядку проведення консультацій з громадськістю опрацювати та узагальнити висловлені у зверненнях громадян пропозиції та зауваження з питань, що потребують вивчення громадської думки</w:t>
            </w:r>
            <w:r>
              <w:rPr>
                <w:rFonts w:eastAsia="Times New Roman" w:cs="Times New Roman" w:ascii="Verdana" w:hAnsi="Verdana"/>
                <w:b/>
                <w:sz w:val="20"/>
                <w:szCs w:val="20"/>
                <w:lang w:eastAsia="ru-RU"/>
              </w:rPr>
              <w:t xml:space="preserve"> </w:t>
            </w:r>
          </w:p>
          <w:p>
            <w:pPr>
              <w:pStyle w:val="Normal"/>
              <w:spacing w:lineRule="auto" w:line="240" w:before="0" w:after="0"/>
              <w:rPr>
                <w:rFonts w:ascii="Verdana" w:hAnsi="Verdana"/>
                <w:sz w:val="20"/>
                <w:szCs w:val="20"/>
              </w:rPr>
            </w:pPr>
            <w:r>
              <w:rPr>
                <w:rFonts w:ascii="Verdana" w:hAnsi="Verdana"/>
                <w:sz w:val="20"/>
                <w:szCs w:val="20"/>
              </w:rPr>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Жовтень 2018</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Адміністративно-господарське управління</w:t>
            </w:r>
          </w:p>
          <w:p>
            <w:pPr>
              <w:pStyle w:val="Normal"/>
              <w:spacing w:lineRule="auto" w:line="240" w:before="0" w:after="0"/>
              <w:rPr>
                <w:rFonts w:ascii="Verdana" w:hAnsi="Verdana"/>
                <w:sz w:val="20"/>
                <w:szCs w:val="20"/>
              </w:rPr>
            </w:pPr>
            <w:r>
              <w:rPr>
                <w:rFonts w:ascii="Verdana" w:hAnsi="Verdana"/>
                <w:sz w:val="20"/>
                <w:szCs w:val="20"/>
              </w:rPr>
              <w:t xml:space="preserve">Сектор контролю та перевірки виконання актів і доручень Президента України, Верховної Ради України та Кабінету Міністрів України </w:t>
            </w:r>
          </w:p>
          <w:p>
            <w:pPr>
              <w:pStyle w:val="Normal"/>
              <w:spacing w:lineRule="auto" w:line="240" w:before="0" w:after="0"/>
              <w:rPr>
                <w:rFonts w:ascii="Verdana" w:hAnsi="Verdana"/>
                <w:sz w:val="20"/>
                <w:szCs w:val="20"/>
              </w:rPr>
            </w:pPr>
            <w:r>
              <w:rPr>
                <w:rFonts w:ascii="Verdana" w:hAnsi="Verdana"/>
                <w:sz w:val="20"/>
                <w:szCs w:val="20"/>
              </w:rPr>
              <w:t>Управління з питань телебачення і радіомовлення, європейської та євроатлантичної інтеграції</w:t>
            </w:r>
          </w:p>
          <w:p>
            <w:pPr>
              <w:pStyle w:val="Normal"/>
              <w:spacing w:lineRule="auto" w:line="240" w:before="0" w:after="0"/>
              <w:rPr>
                <w:rFonts w:ascii="Verdana" w:hAnsi="Verdana"/>
                <w:sz w:val="20"/>
                <w:szCs w:val="20"/>
              </w:rPr>
            </w:pPr>
            <w:r>
              <w:rPr>
                <w:rFonts w:ascii="Verdana" w:hAnsi="Verdana"/>
                <w:sz w:val="20"/>
                <w:szCs w:val="20"/>
              </w:rPr>
              <w:t>Управління розвитку інформаційної сфери</w:t>
            </w:r>
          </w:p>
          <w:p>
            <w:pPr>
              <w:pStyle w:val="Normal"/>
              <w:spacing w:lineRule="auto" w:line="240" w:before="0" w:after="0"/>
              <w:rPr>
                <w:rFonts w:ascii="Verdana" w:hAnsi="Verdana"/>
                <w:sz w:val="20"/>
                <w:szCs w:val="20"/>
              </w:rPr>
            </w:pPr>
            <w:r>
              <w:rPr>
                <w:rFonts w:ascii="Verdana" w:hAnsi="Verdana"/>
                <w:sz w:val="20"/>
                <w:szCs w:val="20"/>
              </w:rPr>
              <w:t>Управління дозвільної процедури та контролю за розповсюдженням видавничої продукції</w:t>
            </w:r>
          </w:p>
          <w:p>
            <w:pPr>
              <w:pStyle w:val="Normal"/>
              <w:spacing w:lineRule="auto" w:line="240" w:before="0" w:after="0"/>
              <w:rPr>
                <w:rFonts w:ascii="Verdana" w:hAnsi="Verdana"/>
                <w:sz w:val="20"/>
                <w:szCs w:val="20"/>
              </w:rPr>
            </w:pPr>
            <w:r>
              <w:rPr>
                <w:rFonts w:ascii="Verdana" w:hAnsi="Verdana"/>
                <w:sz w:val="20"/>
                <w:szCs w:val="20"/>
              </w:rPr>
              <w:t>Відділ видавничої справи</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3.</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t>Вивчити питання можливості та доцільності створення автоматизованого сервісу повідомлення заявника про факт надходження на електронну адресу Держкомтелерадіо його звернення або забезпечення такого інформування заявника щодо реєстраційного номеру його звернення та призначеного виконавця шляхом відправки таких повідомлень відповідальними посадовими особами та за результатами вивчення здійснити відповідні заходи</w:t>
            </w:r>
          </w:p>
          <w:p>
            <w:pPr>
              <w:pStyle w:val="Normal"/>
              <w:spacing w:lineRule="auto" w:line="240" w:before="0" w:after="0"/>
              <w:rPr>
                <w:rFonts w:ascii="Verdana" w:hAnsi="Verdana"/>
                <w:sz w:val="20"/>
                <w:szCs w:val="20"/>
              </w:rPr>
            </w:pPr>
            <w:r>
              <w:rPr>
                <w:rFonts w:ascii="Verdana" w:hAnsi="Verdana"/>
                <w:sz w:val="20"/>
                <w:szCs w:val="20"/>
              </w:rPr>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 xml:space="preserve">Вересень 2018 року </w:t>
            </w:r>
          </w:p>
          <w:p>
            <w:pPr>
              <w:pStyle w:val="Normal"/>
              <w:spacing w:lineRule="auto" w:line="240" w:before="0" w:after="0"/>
              <w:rPr>
                <w:rFonts w:ascii="Verdana" w:hAnsi="Verdana"/>
                <w:sz w:val="20"/>
                <w:szCs w:val="20"/>
              </w:rPr>
            </w:pPr>
            <w:r>
              <w:rPr>
                <w:rFonts w:ascii="Verdana" w:hAnsi="Verdana"/>
                <w:sz w:val="20"/>
                <w:szCs w:val="20"/>
              </w:rPr>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Адміністративно-господарське управління</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4.</w:t>
            </w:r>
          </w:p>
        </w:tc>
        <w:tc>
          <w:tcPr>
            <w:tcW w:w="7001" w:type="dxa"/>
            <w:tcBorders/>
          </w:tcPr>
          <w:p>
            <w:pPr>
              <w:pStyle w:val="Normal"/>
              <w:spacing w:lineRule="auto" w:line="240" w:before="0" w:after="0"/>
              <w:jc w:val="both"/>
              <w:rPr>
                <w:rFonts w:ascii="Verdana" w:hAnsi="Verdana"/>
                <w:sz w:val="20"/>
                <w:szCs w:val="20"/>
              </w:rPr>
            </w:pPr>
            <w:r>
              <w:rPr>
                <w:rFonts w:eastAsia="Times New Roman" w:cs="Times New Roman" w:ascii="Verdana" w:hAnsi="Verdana"/>
                <w:sz w:val="20"/>
                <w:szCs w:val="20"/>
                <w:lang w:val="ru-RU" w:eastAsia="ru-RU"/>
              </w:rPr>
              <w:t xml:space="preserve">Під час підготовки технічного завдання для розроблення нового офіційного веб-сайту Держкомтелерадіо передбачити наявність модулю електронних звернень громадян </w:t>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 xml:space="preserve">Листопад 2018 року </w:t>
            </w:r>
          </w:p>
          <w:p>
            <w:pPr>
              <w:pStyle w:val="Normal"/>
              <w:spacing w:lineRule="auto" w:line="240" w:before="0" w:after="0"/>
              <w:rPr>
                <w:rFonts w:ascii="Verdana" w:hAnsi="Verdana"/>
                <w:sz w:val="20"/>
                <w:szCs w:val="20"/>
              </w:rPr>
            </w:pPr>
            <w:r>
              <w:rPr>
                <w:rFonts w:ascii="Verdana" w:hAnsi="Verdana"/>
                <w:sz w:val="20"/>
                <w:szCs w:val="20"/>
              </w:rPr>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Адміністративно-господарське управління</w:t>
            </w:r>
          </w:p>
          <w:p>
            <w:pPr>
              <w:pStyle w:val="Normal"/>
              <w:spacing w:lineRule="auto" w:line="240" w:before="0" w:after="0"/>
              <w:rPr>
                <w:rFonts w:ascii="Verdana" w:hAnsi="Verdana"/>
                <w:sz w:val="20"/>
                <w:szCs w:val="20"/>
              </w:rPr>
            </w:pPr>
            <w:r>
              <w:rPr>
                <w:rFonts w:ascii="Verdana" w:hAnsi="Verdana"/>
                <w:sz w:val="20"/>
                <w:szCs w:val="20"/>
              </w:rPr>
              <w:t>Сектор консультацій з громадськістю та взаємодії зі ЗМІ</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5.</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t>Під час підготовки технічного завдання для розроблення нового офіційного веб-сайту Держкомтелерадіо розглянути можливість організації обговорення проектів нормативно-правових актів на веб-сайті Держкомтелерадіо за допопомгою спрощеної авторизації через соціально орієнтований ресурс «</w:t>
            </w:r>
            <w:r>
              <w:rPr>
                <w:rFonts w:eastAsia="Times New Roman" w:cs="Times New Roman" w:ascii="Verdana" w:hAnsi="Verdana"/>
                <w:sz w:val="20"/>
                <w:szCs w:val="20"/>
                <w:lang w:val="en-US" w:eastAsia="ru-RU"/>
              </w:rPr>
              <w:t>Facebook</w:t>
            </w:r>
            <w:r>
              <w:rPr>
                <w:rFonts w:eastAsia="Times New Roman" w:cs="Times New Roman" w:ascii="Verdana" w:hAnsi="Verdana"/>
                <w:sz w:val="20"/>
                <w:szCs w:val="20"/>
                <w:lang w:eastAsia="ru-RU"/>
              </w:rPr>
              <w:t>» чи ревалентний</w:t>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Листопад 2018 року</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Адміністративно-господарське управління</w:t>
            </w:r>
          </w:p>
          <w:p>
            <w:pPr>
              <w:pStyle w:val="Normal"/>
              <w:spacing w:lineRule="auto" w:line="240" w:before="0" w:after="0"/>
              <w:rPr>
                <w:rFonts w:ascii="Verdana" w:hAnsi="Verdana"/>
                <w:sz w:val="20"/>
                <w:szCs w:val="20"/>
              </w:rPr>
            </w:pPr>
            <w:r>
              <w:rPr>
                <w:rFonts w:ascii="Verdana" w:hAnsi="Verdana"/>
                <w:sz w:val="20"/>
                <w:szCs w:val="20"/>
              </w:rPr>
              <w:t>Сектор консультацій з громадськістю та взаємодії зі ЗМІ</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6.</w:t>
            </w:r>
          </w:p>
        </w:tc>
        <w:tc>
          <w:tcPr>
            <w:tcW w:w="7001" w:type="dxa"/>
            <w:tcBorders/>
          </w:tcPr>
          <w:p>
            <w:pPr>
              <w:pStyle w:val="Normal"/>
              <w:spacing w:lineRule="auto" w:line="240" w:before="0" w:after="0"/>
              <w:jc w:val="both"/>
              <w:rPr>
                <w:rFonts w:ascii="Verdana" w:hAnsi="Verdana"/>
                <w:sz w:val="20"/>
                <w:szCs w:val="20"/>
              </w:rPr>
            </w:pPr>
            <w:r>
              <w:rPr>
                <w:rFonts w:eastAsia="Times New Roman" w:cs="Times New Roman" w:ascii="Verdana" w:hAnsi="Verdana"/>
                <w:sz w:val="20"/>
                <w:szCs w:val="20"/>
                <w:lang w:eastAsia="ru-RU"/>
              </w:rPr>
              <w:t>Під час підготовки інформаційного повідомлення про проведення публічного громадського обговорення, електронних консультацій з громадськістю, громадського обговорення нормативно-правових актів дотримуватись положень пунктів 15 та 17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w:t>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Постійно</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Сектор консультацій з громадськістю та взаємодії зі ЗМІ</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7.</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val="ru-RU" w:eastAsia="ru-RU"/>
              </w:rPr>
              <w:t>Під час підготовки звітів за результатами проведення консультацій з громадськістю, вивчення громадської думки та громадського обговорення нормативно-правових актів, в тому числі регуляторних актів, дотримуватись положень пунктів 20 та 24 Порядку проведення консультацій з громадськістю</w:t>
            </w:r>
          </w:p>
          <w:p>
            <w:pPr>
              <w:pStyle w:val="Normal"/>
              <w:spacing w:lineRule="auto" w:line="240" w:before="0" w:after="0"/>
              <w:rPr>
                <w:rFonts w:ascii="Verdana" w:hAnsi="Verdana"/>
                <w:sz w:val="20"/>
                <w:szCs w:val="20"/>
              </w:rPr>
            </w:pPr>
            <w:r>
              <w:rPr>
                <w:rFonts w:ascii="Verdana" w:hAnsi="Verdana"/>
                <w:sz w:val="20"/>
                <w:szCs w:val="20"/>
              </w:rPr>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Постійно</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Сектор консультацій з громадськістю та взаємодії зі ЗМІ</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8.</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t xml:space="preserve">Під час розгляду та врахування пропозицій громадської ради (у разі їх надходжень) дотримуватись положень абзацу другого-третього пункту 15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3 листопада 2010 р. №996 </w:t>
            </w:r>
          </w:p>
          <w:p>
            <w:pPr>
              <w:pStyle w:val="Normal"/>
              <w:spacing w:lineRule="auto" w:line="240" w:before="0" w:after="0"/>
              <w:ind w:firstLine="851"/>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 xml:space="preserve">У разі виникнення потреби </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Сектор консультацій з громадськістю та взаємодії зі ЗМІ</w:t>
            </w:r>
            <w:bookmarkStart w:id="0" w:name="_GoBack"/>
            <w:bookmarkEnd w:id="0"/>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9.</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t xml:space="preserve">З метою комплексної оцінки та організації роботи зі зверненнями громадян на підставі абзацу шостого пункту 3 Методики оцінювання рівня організації роботи із зверненнями громадян в органах виконавчої влади, затвердженої постановою Кабінету Міністрів України від 24 червня 2009 р. №630, провести перевірку та оцінювання рівня організації роботи із зверненнями громадян у Держкомтелерадіо згідно з показниками та у порядку, визначеному відповідним актом. Забезпечити оприлюднення такої перевірки та оцінювання на офіційному веб-сайті Держкомтелерадіо </w:t>
            </w:r>
          </w:p>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Листопад 2018 року</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Адміністративно-господарське управління</w:t>
            </w:r>
          </w:p>
          <w:p>
            <w:pPr>
              <w:pStyle w:val="Normal"/>
              <w:spacing w:lineRule="auto" w:line="240" w:before="0" w:after="0"/>
              <w:rPr>
                <w:rFonts w:ascii="Verdana" w:hAnsi="Verdana"/>
                <w:sz w:val="20"/>
                <w:szCs w:val="20"/>
              </w:rPr>
            </w:pPr>
            <w:r>
              <w:rPr>
                <w:rFonts w:ascii="Verdana" w:hAnsi="Verdana"/>
                <w:sz w:val="20"/>
                <w:szCs w:val="20"/>
              </w:rPr>
              <w:t xml:space="preserve">Сектор контролю та перевірки виконання актів і доручень Президента України, Верховної Ради України та Кабінету Міністрів України </w:t>
            </w:r>
          </w:p>
          <w:p>
            <w:pPr>
              <w:pStyle w:val="Normal"/>
              <w:spacing w:lineRule="auto" w:line="240" w:before="0" w:after="0"/>
              <w:rPr>
                <w:rFonts w:ascii="Verdana" w:hAnsi="Verdana"/>
                <w:sz w:val="20"/>
                <w:szCs w:val="20"/>
              </w:rPr>
            </w:pPr>
            <w:r>
              <w:rPr>
                <w:rFonts w:ascii="Verdana" w:hAnsi="Verdana"/>
                <w:sz w:val="20"/>
                <w:szCs w:val="20"/>
              </w:rPr>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10.</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t>Під час підготовки проектів регуляторних актів дотримуватися положень Постанови Кабінету Міністрів України «Про затвердження методик проведення аналізу впливу та відстеження результативності регуляторного акта» від 11.03.2004 № 308, а саме щодо проведення тесту малого підприємництва (М-тест) з проведенням відповідних консультацій з асоціаціями малого бізнесу щодо всіх таких проектів згідно методичних роз’яснень Державної регуляторної служби України</w:t>
            </w:r>
          </w:p>
          <w:p>
            <w:pPr>
              <w:pStyle w:val="Normal"/>
              <w:spacing w:lineRule="auto" w:line="240" w:before="0" w:after="0"/>
              <w:ind w:firstLine="851"/>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Постійно</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Управління розвитку інформаційної сфери</w:t>
            </w:r>
          </w:p>
          <w:p>
            <w:pPr>
              <w:pStyle w:val="Normal"/>
              <w:spacing w:lineRule="auto" w:line="240" w:before="0" w:after="0"/>
              <w:rPr>
                <w:rFonts w:ascii="Verdana" w:hAnsi="Verdana"/>
                <w:sz w:val="20"/>
                <w:szCs w:val="20"/>
              </w:rPr>
            </w:pPr>
            <w:r>
              <w:rPr>
                <w:rFonts w:ascii="Verdana" w:hAnsi="Verdana"/>
                <w:sz w:val="20"/>
                <w:szCs w:val="20"/>
              </w:rPr>
              <w:t>Сектор консультацій з громадськістю та взаємодії зі ЗМІ</w:t>
            </w:r>
          </w:p>
        </w:tc>
      </w:tr>
      <w:tr>
        <w:trPr/>
        <w:tc>
          <w:tcPr>
            <w:tcW w:w="675" w:type="dxa"/>
            <w:tcBorders/>
          </w:tcPr>
          <w:p>
            <w:pPr>
              <w:pStyle w:val="Normal"/>
              <w:spacing w:lineRule="auto" w:line="240" w:before="0" w:after="0"/>
              <w:rPr>
                <w:rFonts w:ascii="Verdana" w:hAnsi="Verdana"/>
                <w:sz w:val="20"/>
                <w:szCs w:val="20"/>
              </w:rPr>
            </w:pPr>
            <w:r>
              <w:rPr>
                <w:rFonts w:ascii="Verdana" w:hAnsi="Verdana"/>
                <w:sz w:val="20"/>
                <w:szCs w:val="20"/>
              </w:rPr>
              <w:t>11.</w:t>
            </w:r>
          </w:p>
        </w:tc>
        <w:tc>
          <w:tcPr>
            <w:tcW w:w="7001" w:type="dxa"/>
            <w:tcBorders/>
          </w:tcPr>
          <w:p>
            <w:pPr>
              <w:pStyle w:val="Normal"/>
              <w:spacing w:lineRule="auto" w:line="240" w:before="0" w:after="0"/>
              <w:jc w:val="both"/>
              <w:rPr>
                <w:rFonts w:ascii="Verdana" w:hAnsi="Verdana" w:eastAsia="Times New Roman" w:cs="Times New Roman"/>
                <w:sz w:val="20"/>
                <w:szCs w:val="20"/>
                <w:lang w:eastAsia="ru-RU"/>
              </w:rPr>
            </w:pPr>
            <w:r>
              <w:rPr>
                <w:rFonts w:eastAsia="Times New Roman" w:cs="Times New Roman" w:ascii="Verdana" w:hAnsi="Verdana"/>
                <w:sz w:val="20"/>
                <w:szCs w:val="20"/>
                <w:lang w:eastAsia="ru-RU"/>
              </w:rPr>
              <w:t>З метою посилення взаємодії Держкомтелерадіо з громадськістю розглянути можливість збільшення в межах штатного розкладу кількості працівників сектору консультацій з громадськістю та взаємодії зі ЗМІ</w:t>
            </w:r>
          </w:p>
        </w:tc>
        <w:tc>
          <w:tcPr>
            <w:tcW w:w="2637" w:type="dxa"/>
            <w:tcBorders/>
          </w:tcPr>
          <w:p>
            <w:pPr>
              <w:pStyle w:val="Normal"/>
              <w:spacing w:lineRule="auto" w:line="240" w:before="0" w:after="0"/>
              <w:rPr>
                <w:rFonts w:ascii="Verdana" w:hAnsi="Verdana"/>
                <w:sz w:val="20"/>
                <w:szCs w:val="20"/>
              </w:rPr>
            </w:pPr>
            <w:r>
              <w:rPr>
                <w:rFonts w:ascii="Verdana" w:hAnsi="Verdana"/>
                <w:sz w:val="20"/>
                <w:szCs w:val="20"/>
              </w:rPr>
              <w:t>Листопад 2018 року</w:t>
            </w:r>
          </w:p>
        </w:tc>
        <w:tc>
          <w:tcPr>
            <w:tcW w:w="5040" w:type="dxa"/>
            <w:tcBorders/>
          </w:tcPr>
          <w:p>
            <w:pPr>
              <w:pStyle w:val="Normal"/>
              <w:spacing w:lineRule="auto" w:line="240" w:before="0" w:after="0"/>
              <w:rPr>
                <w:rFonts w:ascii="Verdana" w:hAnsi="Verdana"/>
                <w:sz w:val="20"/>
                <w:szCs w:val="20"/>
              </w:rPr>
            </w:pPr>
            <w:r>
              <w:rPr>
                <w:rFonts w:ascii="Verdana" w:hAnsi="Verdana"/>
                <w:sz w:val="20"/>
                <w:szCs w:val="20"/>
              </w:rPr>
              <w:t>Керівник апарату Держкомтелерадіо</w:t>
            </w:r>
          </w:p>
          <w:p>
            <w:pPr>
              <w:pStyle w:val="Normal"/>
              <w:spacing w:lineRule="auto" w:line="240" w:before="0" w:after="0"/>
              <w:rPr>
                <w:rFonts w:ascii="Verdana" w:hAnsi="Verdana"/>
                <w:sz w:val="20"/>
                <w:szCs w:val="20"/>
              </w:rPr>
            </w:pPr>
            <w:r>
              <w:rPr>
                <w:rFonts w:ascii="Verdana" w:hAnsi="Verdana"/>
                <w:sz w:val="20"/>
                <w:szCs w:val="20"/>
              </w:rPr>
              <w:t>Відділ роботи з персоналом</w:t>
            </w:r>
          </w:p>
        </w:tc>
      </w:tr>
    </w:tbl>
    <w:p>
      <w:pPr>
        <w:pStyle w:val="Normal"/>
        <w:spacing w:lineRule="auto" w:line="240"/>
        <w:rPr>
          <w:rFonts w:ascii="Verdana" w:hAnsi="Verdana"/>
          <w:sz w:val="20"/>
          <w:szCs w:val="20"/>
        </w:rPr>
      </w:pPr>
      <w:r>
        <w:rPr>
          <w:rFonts w:ascii="Verdana" w:hAnsi="Verdana"/>
          <w:sz w:val="20"/>
          <w:szCs w:val="20"/>
        </w:rPr>
      </w:r>
    </w:p>
    <w:p>
      <w:pPr>
        <w:pStyle w:val="Normal"/>
        <w:spacing w:lineRule="auto" w:line="240" w:before="0" w:after="200"/>
        <w:rPr>
          <w:rFonts w:ascii="Verdana" w:hAnsi="Verdana"/>
          <w:sz w:val="20"/>
          <w:szCs w:val="20"/>
        </w:rPr>
      </w:pPr>
      <w:r>
        <w:rPr>
          <w:rFonts w:ascii="Verdana" w:hAnsi="Verdana"/>
          <w:sz w:val="20"/>
          <w:szCs w:val="20"/>
        </w:rPr>
        <w:t>Завідувач сектору консультацій з громадськістю та взаємодії зі ЗМІ                                             Божко С.М.</w:t>
      </w:r>
    </w:p>
    <w:sectPr>
      <w:type w:val="nextPage"/>
      <w:pgSz w:orient="landscape" w:w="16838" w:h="11906"/>
      <w:pgMar w:left="850" w:right="850" w:header="0" w:top="1417"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2e7b"/>
    <w:pPr>
      <w:widowControl/>
      <w:bidi w:val="0"/>
      <w:spacing w:lineRule="auto" w:line="276" w:before="0" w:after="200"/>
      <w:jc w:val="left"/>
    </w:pPr>
    <w:rPr>
      <w:rFonts w:ascii="Times New Roman" w:hAnsi="Times New Roman" w:eastAsia="Calibri" w:cs="" w:cstheme="minorBidi" w:eastAsiaTheme="minorHAnsi"/>
      <w:color w:val="auto"/>
      <w:kern w:val="0"/>
      <w:sz w:val="24"/>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587347"/>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BalloonText">
    <w:name w:val="Balloon Text"/>
    <w:basedOn w:val="Normal"/>
    <w:link w:val="a5"/>
    <w:uiPriority w:val="99"/>
    <w:semiHidden/>
    <w:unhideWhenUsed/>
    <w:qFormat/>
    <w:rsid w:val="0058734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0e5b1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LibreOffice/6.4.7.2$Linux_X86_64 LibreOffice_project/40$Build-2</Application>
  <Pages>3</Pages>
  <Words>681</Words>
  <Characters>4998</Characters>
  <CharactersWithSpaces>5668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2018-06-22T09:32:00Z</dcterms:created>
  <dc:creator>Таня</dc:creator>
  <dc:description/>
  <dc:language>uk-UA</dc:language>
  <cp:lastModifiedBy>User</cp:lastModifiedBy>
  <cp:lastPrinted>2018-06-25T11:59:00Z</cp:lastPrinted>
  <dcterms:modified xsi:type="dcterms:W3CDTF">2018-06-26T16:34:00Z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