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18" w:rsidRPr="00F96998" w:rsidRDefault="004B5C18" w:rsidP="004B5C18">
      <w:pPr>
        <w:keepNext/>
        <w:keepLines/>
        <w:spacing w:before="240"/>
        <w:ind w:left="2835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9 жовтня 2020 р. № 942)</w:t>
      </w:r>
    </w:p>
    <w:p w:rsidR="00D22F14" w:rsidRDefault="00857BA3" w:rsidP="00D22F14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>
        <w:rPr>
          <w:rFonts w:ascii="Times New Roman" w:hAnsi="Times New Roman"/>
          <w:b/>
          <w:sz w:val="28"/>
          <w:szCs w:val="28"/>
        </w:rPr>
        <w:br/>
        <w:t>поточного</w:t>
      </w:r>
      <w:r w:rsidR="004B5C18">
        <w:rPr>
          <w:rFonts w:ascii="Times New Roman" w:hAnsi="Times New Roman"/>
          <w:b/>
          <w:sz w:val="28"/>
          <w:szCs w:val="28"/>
        </w:rPr>
        <w:t xml:space="preserve"> моніторингу</w:t>
      </w:r>
      <w:r w:rsidR="004B5C18">
        <w:rPr>
          <w:rFonts w:ascii="Times New Roman" w:hAnsi="Times New Roman"/>
          <w:b/>
          <w:sz w:val="28"/>
          <w:szCs w:val="28"/>
        </w:rPr>
        <w:br/>
        <w:t>про</w:t>
      </w:r>
      <w:r w:rsidR="006F7F11">
        <w:rPr>
          <w:rFonts w:ascii="Times New Roman" w:hAnsi="Times New Roman"/>
          <w:b/>
          <w:sz w:val="28"/>
          <w:szCs w:val="28"/>
        </w:rPr>
        <w:t>е</w:t>
      </w:r>
      <w:r w:rsidR="004B5C18">
        <w:rPr>
          <w:rFonts w:ascii="Times New Roman" w:hAnsi="Times New Roman"/>
          <w:b/>
          <w:sz w:val="28"/>
          <w:szCs w:val="28"/>
        </w:rPr>
        <w:t>кту (програми)</w:t>
      </w:r>
      <w:r w:rsidR="004B5C18">
        <w:rPr>
          <w:rFonts w:ascii="Times New Roman" w:hAnsi="Times New Roman"/>
          <w:sz w:val="24"/>
          <w:szCs w:val="24"/>
        </w:rPr>
        <w:t xml:space="preserve"> </w:t>
      </w:r>
      <w:r w:rsidR="005B0CAB">
        <w:rPr>
          <w:rFonts w:ascii="Times New Roman" w:hAnsi="Times New Roman"/>
          <w:sz w:val="24"/>
          <w:szCs w:val="24"/>
        </w:rPr>
        <w:t xml:space="preserve"> </w:t>
      </w:r>
      <w:r w:rsidR="005B0CAB" w:rsidRPr="006F7F11">
        <w:rPr>
          <w:rFonts w:ascii="Times New Roman" w:hAnsi="Times New Roman"/>
          <w:b/>
          <w:sz w:val="28"/>
          <w:szCs w:val="28"/>
        </w:rPr>
        <w:t>Посилення саморегуляції українських медіа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3"/>
        <w:gridCol w:w="3968"/>
        <w:gridCol w:w="5033"/>
      </w:tblGrid>
      <w:tr w:rsidR="004B5C18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Піврічний/річний/заключний (зазначити необхідне)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5B0CAB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>Річний</w:t>
            </w:r>
          </w:p>
        </w:tc>
      </w:tr>
      <w:tr w:rsidR="004B5C18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5B0CAB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>01.05.2020-31.12.2020</w:t>
            </w:r>
          </w:p>
        </w:tc>
      </w:tr>
      <w:tr w:rsidR="004B5C18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Вихідні дані проекту (програми)</w:t>
            </w:r>
          </w:p>
        </w:tc>
      </w:tr>
      <w:tr w:rsidR="004B5C18" w:rsidTr="000E5895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 з розвитку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5B0CAB" w:rsidP="005B0CA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>Координатор про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74640">
              <w:rPr>
                <w:rFonts w:ascii="Times New Roman" w:hAnsi="Times New Roman"/>
                <w:sz w:val="24"/>
                <w:szCs w:val="24"/>
              </w:rPr>
              <w:t>ктів ОБСЄ в Україні</w:t>
            </w:r>
          </w:p>
        </w:tc>
      </w:tr>
      <w:tr w:rsidR="004B5C18" w:rsidTr="000E5895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</w:t>
            </w:r>
            <w:proofErr w:type="spellEnd"/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5B0CAB" w:rsidP="000E589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0CAB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Державний комітет телебачення </w:t>
            </w:r>
            <w:r w:rsidR="000E5895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і</w:t>
            </w:r>
            <w:r w:rsidRPr="005B0CAB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радіомовлення</w:t>
            </w:r>
            <w:r w:rsidR="000E5895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України</w:t>
            </w:r>
          </w:p>
        </w:tc>
      </w:tr>
      <w:tr w:rsidR="004B5C18" w:rsidTr="000E5895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Реципієнт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F96998" w:rsidP="000E589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Всеукраїнська громадська організація</w:t>
            </w:r>
            <w:r w:rsidR="005B0CAB" w:rsidRPr="00E74640">
              <w:rPr>
                <w:rFonts w:ascii="Times New Roman" w:hAnsi="Times New Roman"/>
                <w:sz w:val="24"/>
                <w:szCs w:val="24"/>
              </w:rPr>
              <w:t xml:space="preserve"> «Комісія з журналістської етики»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(ВГО</w:t>
            </w:r>
            <w:r w:rsidR="000E58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КЖЕ»)</w:t>
            </w:r>
          </w:p>
        </w:tc>
      </w:tr>
      <w:tr w:rsidR="004B5C18" w:rsidTr="000E5895">
        <w:trPr>
          <w:trHeight w:val="2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реєстраційної картки проекту</w:t>
            </w:r>
          </w:p>
        </w:tc>
        <w:tc>
          <w:tcPr>
            <w:tcW w:w="3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4B5C18" w:rsidRPr="00A46AE9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Інформація про досягнення очікуваних результатів</w:t>
            </w:r>
          </w:p>
        </w:tc>
      </w:tr>
      <w:tr w:rsidR="00D22F14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Узагальнені результати реалізації проекту (програми) в кількісних та/або якісних показниках 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AB" w:rsidRDefault="00DA5619" w:rsidP="00BF2A79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 w:line="276" w:lineRule="auto"/>
              <w:ind w:left="-92" w:firstLine="92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роведено Міжнародну конференцію на високому рівні із залученням міжнародних фахівців та посадовців щодо актуальних викликів сучасного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взаємоінтегрованого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медіапростору та перспектив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само-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співрегулювання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як запобіжника цим викликам. Вивчені українські та міжнародні практики, встановлено контакти і обмін досвідом між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медійниками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 посадовцями, підготовлено для подальшого розповсюдження серію медіа матеріалів на основі тез та виступів під час заходу. Вивчено та обговорено можливі варіанти та формати співпраці між різними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стейкхолдерами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щодо саморегулювання/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співрегулювання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00145C" w:rsidRDefault="00DA5619" w:rsidP="00BF2A79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 w:line="276" w:lineRule="auto"/>
              <w:ind w:left="-92" w:firstLine="12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роведено дослідження серед представників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медіаспільноти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щодо механізмів саморегулювання. Була залучена соціологічна компанія для вивчення основних етичних викликів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медіаспільноти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 ставлення журналістів до саморегулювання як механізму вирішення проблем та протидії цим викликам. Дослідження охопило журналістів, редакторів, медіаменеджерів</w:t>
            </w:r>
            <w:r w:rsidR="005B0CAB" w:rsidRPr="0000145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національному та регіональному рівнях. </w:t>
            </w:r>
          </w:p>
          <w:p w:rsidR="005B0CAB" w:rsidRPr="005B0CAB" w:rsidRDefault="00DA5619" w:rsidP="00BF2A79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 w:line="276" w:lineRule="auto"/>
              <w:ind w:left="-92" w:firstLine="12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роведено тренінги для членів ВГО «КЖЕ» та адміністративно-управлінського складу Комісії щодо управління проектами,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фандрейзингу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управління організацією та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фасилітації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суперечок у медійному просторі. Таким чином, організаційна спроможність Комісії як організації було посилено.</w:t>
            </w:r>
          </w:p>
          <w:p w:rsidR="005B0CAB" w:rsidRPr="005B0CAB" w:rsidRDefault="00DA5619" w:rsidP="00BF2A79">
            <w:pPr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 w:line="276" w:lineRule="auto"/>
              <w:ind w:left="-92" w:firstLine="92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ідписано Угоду виконавчого партнера із </w:t>
            </w:r>
            <w:r w:rsidR="00C74B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ВГО «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КЖЕ</w:t>
            </w:r>
            <w:r w:rsidR="00C74B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для пілотування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саморегуляційних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механізмів. Очікується, що </w:t>
            </w:r>
            <w:r w:rsidR="00C74B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ВГО «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КЖЕ</w:t>
            </w:r>
            <w:r w:rsidR="00C74B5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зміцнить спроможність виконувати функції органу саморегулювання: збирати та розглядати скарги, приймати рішення, ефективно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комунікувати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їх журналістській спільноті. Буде надана підтримка фінансування юриста, секретаря, фахівця з комунікацій. Також угодою передбачені кошти на поїздки в регіони, оренду приміщень та утримання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вебсайту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 За результатами роботи Комісії буде також проведено шість презентацій у Києві та регіонах. Також раз на півроку Комісія готуватиме звіт зі систематизацією скарг що надійшли на її адресу та підсумками щодо їх розгляду, а також аналізом трендів у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медіасередовищі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На підставі цього звіту зді</w:t>
            </w:r>
            <w:r w:rsidR="008E14D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й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снюватиметься інформування інших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бенефіціарів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проекту та зацікавлених сторін та організацій.    </w:t>
            </w:r>
          </w:p>
          <w:p w:rsidR="0000145C" w:rsidRPr="0000145C" w:rsidRDefault="00DA5619" w:rsidP="00BF2A79">
            <w:pPr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 w:line="276" w:lineRule="auto"/>
              <w:ind w:left="-92" w:firstLine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озроблено та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пілотовано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концепції прес-омбу</w:t>
            </w:r>
            <w:r w:rsidR="005B0CAB" w:rsidRPr="0000145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смена серед українських медіа. Концепцію прес-омбудсмена для індивідуальних редакцій було презентовано та надана підтримка редакціям</w:t>
            </w:r>
            <w:r w:rsidR="005B0CAB" w:rsidRPr="0000145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які виявлять бажання пілотувати у себе цей механізм саморегулювання.</w:t>
            </w:r>
          </w:p>
          <w:p w:rsidR="004B5C18" w:rsidRPr="005B0CAB" w:rsidRDefault="00DA5619" w:rsidP="00BF2A79">
            <w:pPr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 w:line="276" w:lineRule="auto"/>
              <w:ind w:left="-92" w:firstLine="1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роведено діалоговий семінар щодо ролі журналіста. Разом з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Aspen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Institute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Kyiv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було проведено діалоговий семінар «Медіа та реальність: виміри відповідальності» для </w:t>
            </w:r>
            <w:proofErr w:type="spellStart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медіактивістів</w:t>
            </w:r>
            <w:proofErr w:type="spellEnd"/>
            <w:r w:rsidR="005B0CAB" w:rsidRPr="005B0CA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журналістів та редакторів.  </w:t>
            </w:r>
          </w:p>
        </w:tc>
      </w:tr>
      <w:tr w:rsidR="00D22F14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 розміщено інформацію про результати реалізації проекту (програми) та інші матеріали або документи, розроблені в рамках проекту (програми)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сайті Координатора </w:t>
            </w:r>
            <w:proofErr w:type="spellStart"/>
            <w:r w:rsidRPr="0000145C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ОБСЄ в Україні:</w:t>
            </w:r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Анонс Міжнародної конференції з саморегулювання: </w:t>
            </w:r>
            <w:hyperlink r:id="rId8" w:history="1">
              <w:r w:rsidRPr="000014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https://www.osce.org/uk/project-coordinator-in-ukraine/444529</w:t>
              </w:r>
            </w:hyperlink>
            <w:r w:rsidRPr="00001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C18" w:rsidRDefault="0000145C" w:rsidP="0000145C">
            <w:pPr>
              <w:spacing w:line="252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 xml:space="preserve">Результати дослідження з саморегулювання:  </w:t>
            </w:r>
            <w:hyperlink r:id="rId9" w:history="1">
              <w:r w:rsidRPr="000014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https://www.osce.org/project-coordinator-in-ukraine/465915?fbclid=IwAR0cnrhvktZ-q3jIGnoqCWBNvcSefHbYI6K06mkkaNIpVS1N1Did-Ed_NYY</w:t>
              </w:r>
            </w:hyperlink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</w:t>
            </w:r>
            <w:proofErr w:type="spellStart"/>
            <w:r w:rsidRPr="0000145C">
              <w:rPr>
                <w:rFonts w:ascii="Times New Roman" w:hAnsi="Times New Roman"/>
                <w:b/>
                <w:sz w:val="24"/>
                <w:szCs w:val="24"/>
              </w:rPr>
              <w:t>Фейсбук</w:t>
            </w:r>
            <w:proofErr w:type="spellEnd"/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сторінці Координатора </w:t>
            </w:r>
            <w:proofErr w:type="spellStart"/>
            <w:r w:rsidRPr="0000145C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ОБСЄ в Україні:</w:t>
            </w:r>
          </w:p>
          <w:p w:rsidR="0000145C" w:rsidRPr="0000145C" w:rsidRDefault="0000145C" w:rsidP="0000145C">
            <w:pPr>
              <w:rPr>
                <w:rFonts w:ascii="Times New Roman" w:hAnsi="Times New Roman"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Анонс Міжнародної конференції з саморегулювання: </w:t>
            </w:r>
            <w:hyperlink r:id="rId10" w:history="1">
              <w:r w:rsidRPr="0000145C">
                <w:rPr>
                  <w:rFonts w:ascii="Calibri" w:eastAsiaTheme="minorHAnsi" w:hAnsi="Calibr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https://www.facebook.com/OSCE.Ukraine.Projects/posts/1062416464112724?__tn__=-R</w:t>
              </w:r>
            </w:hyperlink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45C" w:rsidRPr="0000145C" w:rsidRDefault="0000145C" w:rsidP="0000145C">
            <w:pPr>
              <w:rPr>
                <w:rFonts w:ascii="Times New Roman" w:hAnsi="Times New Roman"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>Відео</w:t>
            </w: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Міжнародної конференції з саморегулювання: </w:t>
            </w:r>
            <w:hyperlink r:id="rId11" w:history="1">
              <w:r w:rsidRPr="0000145C">
                <w:rPr>
                  <w:rFonts w:ascii="Calibri" w:eastAsiaTheme="minorHAnsi" w:hAnsi="Calibr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https://www.facebook.com/OSCE.Ukraine.Projects/videos/2225516421088792/</w:t>
              </w:r>
            </w:hyperlink>
          </w:p>
          <w:p w:rsidR="0000145C" w:rsidRPr="0000145C" w:rsidRDefault="0000145C" w:rsidP="0000145C">
            <w:pPr>
              <w:spacing w:after="200"/>
              <w:rPr>
                <w:rFonts w:ascii="Calibri" w:eastAsiaTheme="minorHAnsi" w:hAnsi="Calibri" w:cstheme="minorBidi"/>
                <w:color w:val="0563C1"/>
                <w:sz w:val="22"/>
                <w:szCs w:val="22"/>
                <w:u w:val="single"/>
                <w:lang w:eastAsia="en-US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Анонс про залучення експертів з саморегулювання: </w:t>
            </w:r>
            <w:hyperlink r:id="rId12" w:history="1">
              <w:r w:rsidR="00D22F14" w:rsidRPr="00EB071E">
                <w:rPr>
                  <w:rStyle w:val="a4"/>
                  <w:rFonts w:ascii="Calibri" w:eastAsiaTheme="minorHAnsi" w:hAnsi="Calibri" w:cstheme="minorBidi"/>
                  <w:sz w:val="22"/>
                  <w:szCs w:val="22"/>
                  <w:lang w:eastAsia="en-US"/>
                </w:rPr>
                <w:t>https://www.facebook.com/OSCE.Ukraine.Projects/posts/1119931041694599</w:t>
              </w:r>
            </w:hyperlink>
            <w:r w:rsidRPr="0000145C">
              <w:rPr>
                <w:rFonts w:ascii="Calibri" w:eastAsiaTheme="minorHAnsi" w:hAnsi="Calibri" w:cstheme="minorBidi"/>
                <w:color w:val="0563C1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00145C" w:rsidRPr="0000145C" w:rsidRDefault="0000145C" w:rsidP="0000145C">
            <w:pPr>
              <w:spacing w:after="200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Анонс проведення дослідження з саморегулювання: </w:t>
            </w:r>
            <w:hyperlink r:id="rId13" w:history="1">
              <w:r w:rsidRPr="0000145C">
                <w:rPr>
                  <w:rFonts w:ascii="Calibri" w:eastAsiaTheme="minorHAnsi" w:hAnsi="Calibr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https://www.facebook.com/OSCE.Ukraine.Projects/posts/1277504709270564?__tn__=-R</w:t>
              </w:r>
            </w:hyperlink>
            <w:r w:rsidRPr="0000145C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0145C" w:rsidRDefault="0000145C" w:rsidP="0000145C">
            <w:pPr>
              <w:spacing w:after="200"/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>Анонс проведення діалогового семінару:</w:t>
            </w:r>
            <w:r w:rsidRPr="0000145C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Pr="0000145C">
                <w:rPr>
                  <w:rFonts w:ascii="Calibri" w:eastAsiaTheme="minorHAnsi" w:hAnsi="Calibr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https://www.facebook.com/watch/?v=1064672763970331</w:t>
              </w:r>
            </w:hyperlink>
            <w:r w:rsidRPr="0000145C">
              <w:rPr>
                <w:rFonts w:ascii="Calibri" w:eastAsiaTheme="minorHAnsi" w:hAnsi="Calibr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сайті ВГО «КЖЕ»: </w:t>
            </w:r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>Результати дослідження</w:t>
            </w: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з саморегулювання: </w:t>
            </w:r>
            <w:hyperlink r:id="rId15" w:history="1">
              <w:r w:rsidRPr="000014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http://www.cje.org.ua/ua/news/obiznanist-spivrobitnykiv-zmi-shchodo-mehanizmiv-samoregulyuvannya-media-stavlennya-do-cyh?fbclid=IwAR00dLMg45erVJuWDAvFCpsqOlNxJbYc2Ny1PGmqgnyArQXNJ0YRcrNst1M</w:t>
              </w:r>
            </w:hyperlink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розміщена на сайті партнерів: </w:t>
            </w:r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 xml:space="preserve">Стаття про проведення Міжнародної конференції з саморегулювання: </w:t>
            </w:r>
          </w:p>
          <w:p w:rsidR="0000145C" w:rsidRPr="0000145C" w:rsidRDefault="004B0413" w:rsidP="0000145C">
            <w:pPr>
              <w:spacing w:after="200" w:line="276" w:lineRule="auto"/>
              <w:rPr>
                <w:rFonts w:ascii="Calibri" w:eastAsiaTheme="minorHAnsi" w:hAnsi="Calibri" w:cstheme="minorBidi"/>
                <w:color w:val="0563C1"/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00145C" w:rsidRPr="0000145C">
                <w:rPr>
                  <w:rFonts w:ascii="Calibri" w:eastAsiaTheme="minorHAnsi" w:hAnsi="Calibr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https://detector.media/infospace/article/174237/2020-01-27-idealnii-shtorm-dlya-zakonoproektu-z-dezinformatsii-mediapidsumki-2026-sichnya-2020-roku/</w:t>
              </w:r>
            </w:hyperlink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 xml:space="preserve">Стаття про проведення Міжнародної конференції з саморегулювання: </w:t>
            </w:r>
            <w:hyperlink r:id="rId17" w:history="1">
              <w:r w:rsidRPr="0000145C">
                <w:rPr>
                  <w:rFonts w:ascii="Calibri" w:eastAsiaTheme="minorHAnsi" w:hAnsi="Calibr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https://ua.interfax.com.ua/news/general/637298.html</w:t>
              </w:r>
            </w:hyperlink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>Результати дослідження</w:t>
            </w: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з саморегулювання: </w:t>
            </w:r>
          </w:p>
          <w:p w:rsidR="0000145C" w:rsidRPr="0000145C" w:rsidRDefault="004B0413" w:rsidP="0000145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0145C" w:rsidRPr="000014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https://gurt.org.ua/news/informator/63621/</w:t>
              </w:r>
            </w:hyperlink>
            <w:r w:rsidR="0000145C" w:rsidRPr="00001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45C" w:rsidRPr="0000145C" w:rsidRDefault="0000145C" w:rsidP="0000145C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45C">
              <w:rPr>
                <w:rFonts w:ascii="Times New Roman" w:hAnsi="Times New Roman"/>
                <w:sz w:val="24"/>
                <w:szCs w:val="24"/>
              </w:rPr>
              <w:t>Результати дослідження</w:t>
            </w:r>
            <w:r w:rsidRPr="000014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45C">
              <w:rPr>
                <w:rFonts w:ascii="Times New Roman" w:hAnsi="Times New Roman"/>
                <w:sz w:val="24"/>
                <w:szCs w:val="24"/>
              </w:rPr>
              <w:t xml:space="preserve">з саморегулювання: </w:t>
            </w:r>
          </w:p>
          <w:p w:rsidR="0000145C" w:rsidRDefault="004B0413" w:rsidP="00D22F1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0145C" w:rsidRPr="0000145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https://www.prostir.ua/?library=doslidzhennya-obiznanist-spivrobitnykiv-zmi-schodo-mehanizmiv-samorehulyuvannya-media-stavlennya-do-tsyh-mehanizmiv</w:t>
              </w:r>
            </w:hyperlink>
          </w:p>
        </w:tc>
      </w:tr>
      <w:tr w:rsidR="00D22F14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Загальна сума витрачених під час реалізації проекту (програми) коштів міжнародної технічної допомоги на кінець звітного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періоду (за наявності),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категоріями:</w:t>
            </w:r>
          </w:p>
          <w:p w:rsidR="00004D4F" w:rsidRDefault="00004D4F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00145C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163 634,05 ЄВРО</w:t>
            </w:r>
          </w:p>
        </w:tc>
      </w:tr>
      <w:tr w:rsidR="00D22F14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послуги з організації тренінгів, навчання, опитування, інформаційні кампанії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00145C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07ED7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609,</w:t>
            </w:r>
            <w:r w:rsidRPr="00107ED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ЄВРО</w:t>
            </w:r>
          </w:p>
        </w:tc>
      </w:tr>
      <w:tr w:rsidR="00D22F14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консультаційні послуги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6D76CD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07ED7">
              <w:rPr>
                <w:rFonts w:ascii="Times New Roman" w:hAnsi="Times New Roman"/>
                <w:sz w:val="24"/>
                <w:szCs w:val="24"/>
              </w:rPr>
              <w:t>70 986, 77 ЄВРО</w:t>
            </w:r>
          </w:p>
        </w:tc>
      </w:tr>
      <w:tr w:rsidR="00D22F14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6D76CD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07E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963, </w:t>
            </w:r>
            <w:r w:rsidRPr="00107ED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ЄВРО</w:t>
            </w:r>
          </w:p>
        </w:tc>
      </w:tr>
      <w:tr w:rsidR="00D22F14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будівельні, ремонтні роботи, технічний нагляд</w:t>
            </w: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6D76CD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2F14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витрати виконавця</w:t>
            </w:r>
          </w:p>
          <w:p w:rsidR="004B5C18" w:rsidRDefault="004B5C18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6D76CD" w:rsidP="00DE4C3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56 406,95 ЄВРО</w:t>
            </w:r>
          </w:p>
        </w:tc>
      </w:tr>
      <w:tr w:rsidR="004B5C18" w:rsidRPr="00A46AE9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Порівняння запланованих результатів проекту (програми) з досягнутими</w:t>
            </w:r>
          </w:p>
        </w:tc>
      </w:tr>
      <w:tr w:rsidR="004B5C18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Кількісні та/або якісні критерії результативності проекту (програми)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Заплановані результати на кінець звітного періоду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Фактичні результати на кінець звітного періоду</w:t>
            </w:r>
          </w:p>
        </w:tc>
      </w:tr>
      <w:tr w:rsidR="004B5C18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6D76CD" w:rsidP="000B14A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>Проведення Міжнародної конференції з саморегулювання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D" w:rsidRPr="006D76CD" w:rsidRDefault="006D76CD" w:rsidP="00DA6D62">
            <w:pPr>
              <w:numPr>
                <w:ilvl w:val="0"/>
                <w:numId w:val="3"/>
              </w:numPr>
              <w:tabs>
                <w:tab w:val="left" w:pos="175"/>
              </w:tabs>
              <w:spacing w:after="200"/>
              <w:ind w:left="-47" w:hanging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Залучити міжнародних експертів до панельних дискусій</w:t>
            </w:r>
          </w:p>
          <w:p w:rsidR="006D76CD" w:rsidRPr="006D76CD" w:rsidRDefault="006D76CD" w:rsidP="00DA6D62">
            <w:pPr>
              <w:numPr>
                <w:ilvl w:val="0"/>
                <w:numId w:val="3"/>
              </w:numPr>
              <w:spacing w:after="200"/>
              <w:ind w:left="-47" w:hanging="20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Запросити представників державних органів, які займаються питаннями медіа</w:t>
            </w:r>
          </w:p>
          <w:p w:rsidR="006D76CD" w:rsidRPr="006D76CD" w:rsidRDefault="006D76CD" w:rsidP="00DA6D62">
            <w:pPr>
              <w:numPr>
                <w:ilvl w:val="0"/>
                <w:numId w:val="3"/>
              </w:numPr>
              <w:tabs>
                <w:tab w:val="left" w:pos="175"/>
              </w:tabs>
              <w:spacing w:after="200"/>
              <w:ind w:left="-47" w:hanging="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Запросити до участі у конференції професійну медіа спільноту</w:t>
            </w:r>
          </w:p>
          <w:p w:rsidR="006D76CD" w:rsidRPr="006D76CD" w:rsidRDefault="006D76CD" w:rsidP="00DA6D62">
            <w:pPr>
              <w:numPr>
                <w:ilvl w:val="0"/>
                <w:numId w:val="3"/>
              </w:numPr>
              <w:tabs>
                <w:tab w:val="left" w:pos="175"/>
              </w:tabs>
              <w:spacing w:after="200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Поширити результати конференції серед релевантної аудиторії</w:t>
            </w:r>
          </w:p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D" w:rsidRPr="006D76CD" w:rsidRDefault="00DA5619" w:rsidP="00DA6D62">
            <w:pPr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left="0" w:hanging="4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76CD" w:rsidRPr="006D76CD">
              <w:rPr>
                <w:rFonts w:ascii="Times New Roman" w:hAnsi="Times New Roman"/>
                <w:sz w:val="24"/>
                <w:szCs w:val="24"/>
              </w:rPr>
              <w:t>алучено експертів зі Східної Європи для участі у панельній дискусії</w:t>
            </w:r>
          </w:p>
          <w:p w:rsidR="006D76CD" w:rsidRPr="006D76CD" w:rsidRDefault="00DA5619" w:rsidP="00DA6D62">
            <w:pPr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left="0" w:hanging="4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76CD" w:rsidRPr="006D76CD">
              <w:rPr>
                <w:rFonts w:ascii="Times New Roman" w:hAnsi="Times New Roman"/>
                <w:sz w:val="24"/>
                <w:szCs w:val="24"/>
              </w:rPr>
              <w:t>апрошено Заступника Міністра культури та інформаційної політики</w:t>
            </w:r>
            <w:r w:rsidR="008E14DB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  <w:p w:rsidR="006D76CD" w:rsidRPr="006D76CD" w:rsidRDefault="00DA5619" w:rsidP="00DA6D62">
            <w:pPr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left="0" w:hanging="4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D76CD" w:rsidRPr="006D76CD">
              <w:rPr>
                <w:rFonts w:ascii="Times New Roman" w:hAnsi="Times New Roman"/>
                <w:sz w:val="24"/>
                <w:szCs w:val="24"/>
              </w:rPr>
              <w:t xml:space="preserve">апрошено редакторів, медіа експертів, журналістів, медіа менеджерів до участі у конференції. У конференції взяли участь більше 100 спеціалістів. </w:t>
            </w:r>
          </w:p>
          <w:p w:rsidR="004B5C18" w:rsidRDefault="006D76CD" w:rsidP="00DA6D62">
            <w:pPr>
              <w:tabs>
                <w:tab w:val="left" w:pos="317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Підсумки конференції у вигляді відео звіту були надіслані учасникам конференції та поширені серед релевантної аудиторії.</w:t>
            </w:r>
          </w:p>
        </w:tc>
      </w:tr>
      <w:tr w:rsidR="006D76CD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D" w:rsidRPr="00E74640" w:rsidRDefault="006D76CD" w:rsidP="000B14A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 xml:space="preserve">Проведення дослідження серед представників </w:t>
            </w:r>
            <w:proofErr w:type="spellStart"/>
            <w:r w:rsidRPr="00E74640">
              <w:rPr>
                <w:rFonts w:ascii="Times New Roman" w:hAnsi="Times New Roman"/>
                <w:sz w:val="24"/>
                <w:szCs w:val="24"/>
              </w:rPr>
              <w:t>медіаспільноти</w:t>
            </w:r>
            <w:proofErr w:type="spellEnd"/>
            <w:r w:rsidRPr="00E74640">
              <w:rPr>
                <w:rFonts w:ascii="Times New Roman" w:hAnsi="Times New Roman"/>
                <w:sz w:val="24"/>
                <w:szCs w:val="24"/>
              </w:rPr>
              <w:t xml:space="preserve"> щодо механізмів саморегулювання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D" w:rsidRDefault="006D76CD" w:rsidP="00DA6D6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06" w:hanging="214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 xml:space="preserve">Залучення експертів для проведення дослідження </w:t>
            </w:r>
          </w:p>
          <w:p w:rsidR="006D76CD" w:rsidRDefault="006D76CD" w:rsidP="00DA6D6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06" w:hanging="214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Розробка методологі</w:t>
            </w:r>
            <w:r w:rsidR="008E14DB">
              <w:rPr>
                <w:rFonts w:ascii="Times New Roman" w:hAnsi="Times New Roman"/>
                <w:sz w:val="24"/>
                <w:szCs w:val="24"/>
              </w:rPr>
              <w:t>ї</w:t>
            </w:r>
            <w:r w:rsidRPr="006D76CD">
              <w:rPr>
                <w:rFonts w:ascii="Times New Roman" w:hAnsi="Times New Roman"/>
                <w:sz w:val="24"/>
                <w:szCs w:val="24"/>
              </w:rPr>
              <w:t xml:space="preserve"> дослідження</w:t>
            </w:r>
          </w:p>
          <w:p w:rsidR="006D76CD" w:rsidRDefault="006D76CD" w:rsidP="00DA6D6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06" w:hanging="214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Проведення фокус-груп</w:t>
            </w:r>
          </w:p>
          <w:p w:rsidR="006D76CD" w:rsidRPr="006D76CD" w:rsidRDefault="006D76CD" w:rsidP="00DA6D6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06" w:hanging="214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 xml:space="preserve">Презентація результатів дослідження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CD" w:rsidRDefault="006D76CD" w:rsidP="001A4822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CD">
              <w:rPr>
                <w:rFonts w:ascii="Times New Roman" w:hAnsi="Times New Roman"/>
                <w:sz w:val="24"/>
                <w:szCs w:val="24"/>
              </w:rPr>
              <w:t>Залученн</w:t>
            </w:r>
            <w:r w:rsidR="008E14D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D76CD">
              <w:rPr>
                <w:rFonts w:ascii="Times New Roman" w:hAnsi="Times New Roman"/>
                <w:sz w:val="24"/>
                <w:szCs w:val="24"/>
              </w:rPr>
              <w:t xml:space="preserve"> експертів для проведення дослідження </w:t>
            </w:r>
          </w:p>
          <w:p w:rsidR="006D76CD" w:rsidRDefault="006D76CD" w:rsidP="001A4822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Розроб</w:t>
            </w:r>
            <w:r w:rsidR="008E14DB">
              <w:rPr>
                <w:rFonts w:ascii="Times New Roman" w:hAnsi="Times New Roman"/>
                <w:sz w:val="24"/>
                <w:szCs w:val="24"/>
              </w:rPr>
              <w:t xml:space="preserve">лено </w:t>
            </w:r>
            <w:r w:rsidRPr="006D76CD">
              <w:rPr>
                <w:rFonts w:ascii="Times New Roman" w:hAnsi="Times New Roman"/>
                <w:sz w:val="24"/>
                <w:szCs w:val="24"/>
              </w:rPr>
              <w:t>методологі</w:t>
            </w:r>
            <w:r w:rsidR="00D22F14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D76CD"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  <w:p w:rsidR="006D76CD" w:rsidRDefault="006D76CD" w:rsidP="001A4822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6CD">
              <w:rPr>
                <w:rFonts w:ascii="Times New Roman" w:hAnsi="Times New Roman"/>
                <w:sz w:val="24"/>
                <w:szCs w:val="24"/>
              </w:rPr>
              <w:t>Проведенн</w:t>
            </w:r>
            <w:r w:rsidR="008E14D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D76CD">
              <w:rPr>
                <w:rFonts w:ascii="Times New Roman" w:hAnsi="Times New Roman"/>
                <w:sz w:val="24"/>
                <w:szCs w:val="24"/>
              </w:rPr>
              <w:t xml:space="preserve"> фокус-груп</w:t>
            </w:r>
            <w:r w:rsidR="008E14D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D76CD" w:rsidRPr="006D76CD" w:rsidRDefault="006D76CD" w:rsidP="008E14DB">
            <w:pPr>
              <w:pStyle w:val="a3"/>
              <w:numPr>
                <w:ilvl w:val="0"/>
                <w:numId w:val="6"/>
              </w:numPr>
              <w:tabs>
                <w:tab w:val="left" w:pos="34"/>
              </w:tabs>
              <w:spacing w:after="200" w:line="276" w:lineRule="auto"/>
              <w:ind w:left="317" w:hanging="425"/>
              <w:rPr>
                <w:rFonts w:ascii="Times New Roman" w:hAnsi="Times New Roman"/>
                <w:sz w:val="24"/>
                <w:szCs w:val="24"/>
              </w:rPr>
            </w:pPr>
            <w:r w:rsidRPr="006D76CD">
              <w:rPr>
                <w:rFonts w:ascii="Times New Roman" w:hAnsi="Times New Roman"/>
                <w:sz w:val="24"/>
                <w:szCs w:val="24"/>
              </w:rPr>
              <w:t>Презент</w:t>
            </w:r>
            <w:r w:rsidR="008E14DB"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6D76CD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8E14DB">
              <w:rPr>
                <w:rFonts w:ascii="Times New Roman" w:hAnsi="Times New Roman"/>
                <w:sz w:val="24"/>
                <w:szCs w:val="24"/>
              </w:rPr>
              <w:t>и</w:t>
            </w:r>
            <w:r w:rsidRPr="006D76CD">
              <w:rPr>
                <w:rFonts w:ascii="Times New Roman" w:hAnsi="Times New Roman"/>
                <w:sz w:val="24"/>
                <w:szCs w:val="24"/>
              </w:rPr>
              <w:t xml:space="preserve"> дослідження </w:t>
            </w:r>
          </w:p>
        </w:tc>
      </w:tr>
      <w:tr w:rsidR="00D22F14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4" w:rsidRPr="00E74640" w:rsidRDefault="00E014E4" w:rsidP="000B14A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 xml:space="preserve">Підписання Угоду виконавчого партнера із </w:t>
            </w:r>
            <w:r w:rsidRPr="00E74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КЖЕ для пілотування </w:t>
            </w:r>
            <w:proofErr w:type="spellStart"/>
            <w:r w:rsidRPr="00E74640">
              <w:rPr>
                <w:rFonts w:ascii="Times New Roman" w:hAnsi="Times New Roman"/>
                <w:sz w:val="24"/>
                <w:szCs w:val="24"/>
              </w:rPr>
              <w:t>саморегуляційних</w:t>
            </w:r>
            <w:proofErr w:type="spellEnd"/>
            <w:r w:rsidRPr="00E74640">
              <w:rPr>
                <w:rFonts w:ascii="Times New Roman" w:hAnsi="Times New Roman"/>
                <w:sz w:val="24"/>
                <w:szCs w:val="24"/>
              </w:rPr>
              <w:t xml:space="preserve"> механізмів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E4" w:rsidRPr="00E014E4" w:rsidRDefault="00E014E4" w:rsidP="00DA6D62">
            <w:pPr>
              <w:numPr>
                <w:ilvl w:val="0"/>
                <w:numId w:val="7"/>
              </w:numPr>
              <w:tabs>
                <w:tab w:val="left" w:pos="-108"/>
                <w:tab w:val="left" w:pos="176"/>
                <w:tab w:val="left" w:pos="566"/>
              </w:tabs>
              <w:spacing w:after="200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4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Збір юридичних документів для </w:t>
            </w:r>
            <w:r w:rsidRPr="00E014E4">
              <w:rPr>
                <w:rFonts w:ascii="Times New Roman" w:hAnsi="Times New Roman"/>
                <w:sz w:val="24"/>
                <w:szCs w:val="24"/>
              </w:rPr>
              <w:lastRenderedPageBreak/>
              <w:t>підписання Угоди</w:t>
            </w:r>
          </w:p>
          <w:p w:rsidR="00E014E4" w:rsidRPr="00E014E4" w:rsidRDefault="00E014E4" w:rsidP="00DA6D62">
            <w:pPr>
              <w:numPr>
                <w:ilvl w:val="0"/>
                <w:numId w:val="7"/>
              </w:numPr>
              <w:tabs>
                <w:tab w:val="left" w:pos="176"/>
              </w:tabs>
              <w:spacing w:after="200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4E4">
              <w:rPr>
                <w:rFonts w:ascii="Times New Roman" w:hAnsi="Times New Roman"/>
                <w:sz w:val="24"/>
                <w:szCs w:val="24"/>
              </w:rPr>
              <w:t>Планування заходів</w:t>
            </w:r>
            <w:r w:rsidR="008E14DB">
              <w:rPr>
                <w:rFonts w:ascii="Times New Roman" w:hAnsi="Times New Roman"/>
                <w:sz w:val="24"/>
                <w:szCs w:val="24"/>
              </w:rPr>
              <w:t>,</w:t>
            </w:r>
            <w:r w:rsidRPr="00E014E4">
              <w:rPr>
                <w:rFonts w:ascii="Times New Roman" w:hAnsi="Times New Roman"/>
                <w:sz w:val="24"/>
                <w:szCs w:val="24"/>
              </w:rPr>
              <w:t xml:space="preserve"> зазначених в Угоді</w:t>
            </w:r>
          </w:p>
          <w:p w:rsidR="000B14A6" w:rsidRPr="000B14A6" w:rsidRDefault="00E014E4" w:rsidP="003D5325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200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E014E4">
              <w:rPr>
                <w:rFonts w:ascii="Times New Roman" w:hAnsi="Times New Roman"/>
                <w:sz w:val="24"/>
                <w:szCs w:val="24"/>
              </w:rPr>
              <w:t>Звітність щодо заходів</w:t>
            </w:r>
            <w:r w:rsidR="008E14DB">
              <w:rPr>
                <w:rFonts w:ascii="Times New Roman" w:hAnsi="Times New Roman"/>
                <w:sz w:val="24"/>
                <w:szCs w:val="24"/>
              </w:rPr>
              <w:t>,</w:t>
            </w:r>
            <w:r w:rsidRPr="00E014E4">
              <w:rPr>
                <w:rFonts w:ascii="Times New Roman" w:hAnsi="Times New Roman"/>
                <w:sz w:val="24"/>
                <w:szCs w:val="24"/>
              </w:rPr>
              <w:t xml:space="preserve">  проведених у зазначений в Угоді період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BF" w:rsidRPr="00E74640" w:rsidRDefault="00DA5619" w:rsidP="00DA6D6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D3CBF" w:rsidRPr="00E74640">
              <w:rPr>
                <w:rFonts w:ascii="Times New Roman" w:hAnsi="Times New Roman"/>
                <w:sz w:val="24"/>
                <w:szCs w:val="24"/>
              </w:rPr>
              <w:t xml:space="preserve">ідготовлено всі необхідні юридичні </w:t>
            </w:r>
            <w:r w:rsidR="00AD3CBF" w:rsidRPr="00E74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документи для підписання Угоди. Угоду було підписано. </w:t>
            </w:r>
          </w:p>
          <w:p w:rsidR="00AD3CBF" w:rsidRPr="00E74640" w:rsidRDefault="008E14DB" w:rsidP="00DA6D6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D3CBF" w:rsidRPr="00E74640">
              <w:rPr>
                <w:rFonts w:ascii="Times New Roman" w:hAnsi="Times New Roman"/>
                <w:sz w:val="24"/>
                <w:szCs w:val="24"/>
              </w:rPr>
              <w:t>плановано та проведено заходи зазначен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AD3CBF" w:rsidRPr="00E74640">
              <w:rPr>
                <w:rFonts w:ascii="Times New Roman" w:hAnsi="Times New Roman"/>
                <w:sz w:val="24"/>
                <w:szCs w:val="24"/>
              </w:rPr>
              <w:t xml:space="preserve"> в Угоді</w:t>
            </w:r>
          </w:p>
          <w:p w:rsidR="00D22F14" w:rsidRPr="006D76CD" w:rsidRDefault="008E14DB" w:rsidP="00DA6D62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D3CBF" w:rsidRPr="00E74640">
              <w:rPr>
                <w:rFonts w:ascii="Times New Roman" w:hAnsi="Times New Roman"/>
                <w:sz w:val="24"/>
                <w:szCs w:val="24"/>
              </w:rPr>
              <w:t>адіслані описові та фінансові звіти щодо заходів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3CBF" w:rsidRPr="00E74640">
              <w:rPr>
                <w:rFonts w:ascii="Times New Roman" w:hAnsi="Times New Roman"/>
                <w:sz w:val="24"/>
                <w:szCs w:val="24"/>
              </w:rPr>
              <w:t xml:space="preserve"> проведених у зазначений в Угоді період</w:t>
            </w:r>
          </w:p>
        </w:tc>
      </w:tr>
      <w:tr w:rsidR="003E171F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1F" w:rsidRPr="00E74640" w:rsidRDefault="00CC0AA9" w:rsidP="000B14A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lastRenderedPageBreak/>
              <w:t>Розробка та пілотування концепції прес-омбудсмена серед українських медіа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9" w:rsidRPr="00CC0AA9" w:rsidRDefault="00CC0AA9" w:rsidP="00DA6D62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-108" w:firstLine="108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0AA9">
              <w:rPr>
                <w:rFonts w:ascii="Times New Roman" w:hAnsi="Times New Roman"/>
                <w:sz w:val="24"/>
                <w:szCs w:val="24"/>
              </w:rPr>
              <w:t xml:space="preserve">Долучити українських та міжнародних експертів для розробки концепції впровадження моделі </w:t>
            </w: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прес-омбудсмена серед українських медіа</w:t>
            </w:r>
          </w:p>
          <w:p w:rsidR="00CC0AA9" w:rsidRPr="00CC0AA9" w:rsidRDefault="00CC0AA9" w:rsidP="00DA6D62">
            <w:pPr>
              <w:numPr>
                <w:ilvl w:val="0"/>
                <w:numId w:val="8"/>
              </w:numPr>
              <w:tabs>
                <w:tab w:val="left" w:pos="175"/>
              </w:tabs>
              <w:spacing w:after="200" w:line="276" w:lineRule="auto"/>
              <w:ind w:left="-108" w:firstLine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Розробити аналіз поточної ситуації в українському медійному середовищі та міжнародних практик</w:t>
            </w:r>
          </w:p>
          <w:p w:rsidR="00CC0AA9" w:rsidRPr="00CC0AA9" w:rsidRDefault="00CC0AA9" w:rsidP="00DA6D62">
            <w:pPr>
              <w:numPr>
                <w:ilvl w:val="0"/>
                <w:numId w:val="8"/>
              </w:numPr>
              <w:tabs>
                <w:tab w:val="left" w:pos="175"/>
              </w:tabs>
              <w:spacing w:after="200" w:line="276" w:lineRule="auto"/>
              <w:ind w:left="-108" w:firstLine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Підготувати методологію </w:t>
            </w:r>
            <w:r w:rsidRPr="00CC0AA9">
              <w:rPr>
                <w:rFonts w:ascii="Times New Roman" w:hAnsi="Times New Roman"/>
                <w:sz w:val="24"/>
                <w:szCs w:val="24"/>
              </w:rPr>
              <w:t xml:space="preserve">впровадження моделі </w:t>
            </w: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прес-омбудсмена серед українських медіа</w:t>
            </w:r>
          </w:p>
          <w:p w:rsidR="003E171F" w:rsidRPr="00CC0AA9" w:rsidRDefault="00CC0AA9" w:rsidP="00DA6D62">
            <w:pPr>
              <w:pStyle w:val="a3"/>
              <w:numPr>
                <w:ilvl w:val="0"/>
                <w:numId w:val="8"/>
              </w:numPr>
              <w:tabs>
                <w:tab w:val="left" w:pos="-108"/>
                <w:tab w:val="left" w:pos="175"/>
              </w:tabs>
              <w:spacing w:after="200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A9">
              <w:rPr>
                <w:rFonts w:ascii="Times New Roman" w:hAnsi="Times New Roman"/>
                <w:sz w:val="24"/>
                <w:szCs w:val="24"/>
              </w:rPr>
              <w:t xml:space="preserve">Презентувати концепцію впровадження моделі </w:t>
            </w: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прес-омбудсмена серед українських медіа.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9" w:rsidRPr="00CC0AA9" w:rsidRDefault="00DA5619" w:rsidP="00DA6D62">
            <w:pPr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spacing w:after="200" w:line="276" w:lineRule="auto"/>
              <w:ind w:left="-108" w:firstLine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C0AA9" w:rsidRPr="00CC0AA9">
              <w:rPr>
                <w:rFonts w:ascii="Times New Roman" w:hAnsi="Times New Roman"/>
                <w:sz w:val="24"/>
                <w:szCs w:val="24"/>
              </w:rPr>
              <w:t>алучено двох у</w:t>
            </w:r>
            <w:r>
              <w:rPr>
                <w:rFonts w:ascii="Times New Roman" w:hAnsi="Times New Roman"/>
                <w:sz w:val="24"/>
                <w:szCs w:val="24"/>
              </w:rPr>
              <w:t>країнських та одного міжнародного експерта</w:t>
            </w:r>
            <w:r w:rsidR="00CC0AA9" w:rsidRPr="00CC0AA9">
              <w:rPr>
                <w:rFonts w:ascii="Times New Roman" w:hAnsi="Times New Roman"/>
                <w:sz w:val="24"/>
                <w:szCs w:val="24"/>
              </w:rPr>
              <w:t xml:space="preserve"> для розробки концепції впровадження моделі </w:t>
            </w:r>
            <w:r w:rsidR="00CC0AA9"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прес-омбудсмена серед українських медіа</w:t>
            </w:r>
          </w:p>
          <w:p w:rsidR="00CC0AA9" w:rsidRPr="00CC0AA9" w:rsidRDefault="00CC0AA9" w:rsidP="00DA6D62">
            <w:pPr>
              <w:numPr>
                <w:ilvl w:val="0"/>
                <w:numId w:val="8"/>
              </w:numPr>
              <w:tabs>
                <w:tab w:val="left" w:pos="176"/>
              </w:tabs>
              <w:spacing w:after="200" w:line="276" w:lineRule="auto"/>
              <w:ind w:left="-108" w:firstLine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Експерти розробили аналіз поточної ситуації в українському медійному середовищі та міжнародних практик</w:t>
            </w:r>
          </w:p>
          <w:p w:rsidR="00CC0AA9" w:rsidRPr="00CC0AA9" w:rsidRDefault="00CC0AA9" w:rsidP="00DA6D62">
            <w:pPr>
              <w:numPr>
                <w:ilvl w:val="0"/>
                <w:numId w:val="8"/>
              </w:numPr>
              <w:tabs>
                <w:tab w:val="left" w:pos="176"/>
              </w:tabs>
              <w:spacing w:after="200" w:line="276" w:lineRule="auto"/>
              <w:ind w:left="-108" w:firstLine="0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Експерти підготувати методологію </w:t>
            </w:r>
            <w:r w:rsidRPr="00CC0AA9">
              <w:rPr>
                <w:rFonts w:ascii="Times New Roman" w:hAnsi="Times New Roman"/>
                <w:sz w:val="24"/>
                <w:szCs w:val="24"/>
              </w:rPr>
              <w:t xml:space="preserve">впровадження моделі </w:t>
            </w: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прес-омбудсмена серед українських медіа</w:t>
            </w:r>
          </w:p>
          <w:p w:rsidR="003E171F" w:rsidRPr="00CC0AA9" w:rsidRDefault="00CC0AA9" w:rsidP="00DA6D62">
            <w:pPr>
              <w:pStyle w:val="a3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CC0AA9">
              <w:rPr>
                <w:rFonts w:ascii="Times New Roman" w:hAnsi="Times New Roman"/>
                <w:sz w:val="24"/>
                <w:szCs w:val="24"/>
              </w:rPr>
              <w:t xml:space="preserve">Концепцію впровадження моделі </w:t>
            </w:r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прес-омбудсмена серед українських медіа було презентовано </w:t>
            </w:r>
            <w:proofErr w:type="spellStart"/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онлайн</w:t>
            </w:r>
            <w:proofErr w:type="spellEnd"/>
            <w:r w:rsidRPr="00CC0AA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серед професійного середовища</w:t>
            </w:r>
          </w:p>
        </w:tc>
      </w:tr>
      <w:tr w:rsidR="00CC0AA9" w:rsidRPr="00A46AE9" w:rsidTr="00F858B0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9" w:rsidRPr="00E74640" w:rsidRDefault="00CC0AA9" w:rsidP="000B14A6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діалогових</w:t>
            </w:r>
            <w:r w:rsidRPr="00E7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заходів </w:t>
            </w:r>
            <w:r w:rsidRPr="00E74640">
              <w:rPr>
                <w:rFonts w:ascii="Times New Roman" w:hAnsi="Times New Roman"/>
                <w:sz w:val="24"/>
                <w:szCs w:val="24"/>
              </w:rPr>
              <w:t>щодо ролі журналіста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9" w:rsidRPr="00E74640" w:rsidRDefault="00CC0AA9" w:rsidP="00DA6D6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 xml:space="preserve">Залучення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експертів для розробки концепції заходів </w:t>
            </w:r>
          </w:p>
          <w:p w:rsidR="00CC0AA9" w:rsidRPr="00E74640" w:rsidRDefault="00CC0AA9" w:rsidP="00DA6D6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 xml:space="preserve">Розробка методології </w:t>
            </w:r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</w:p>
          <w:p w:rsidR="00CC0AA9" w:rsidRPr="00E74640" w:rsidRDefault="00CC0AA9" w:rsidP="00DA6D62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0" w:hanging="108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 xml:space="preserve">Анонсування </w:t>
            </w:r>
            <w:r>
              <w:rPr>
                <w:rFonts w:ascii="Times New Roman" w:hAnsi="Times New Roman"/>
                <w:sz w:val="24"/>
                <w:szCs w:val="24"/>
              </w:rPr>
              <w:t>заходу</w:t>
            </w:r>
            <w:r w:rsidRPr="00E74640">
              <w:rPr>
                <w:rFonts w:ascii="Times New Roman" w:hAnsi="Times New Roman"/>
                <w:sz w:val="24"/>
                <w:szCs w:val="24"/>
              </w:rPr>
              <w:t xml:space="preserve"> серед релевантної аудиторії</w:t>
            </w:r>
          </w:p>
          <w:p w:rsidR="00CC0AA9" w:rsidRPr="00CC0AA9" w:rsidRDefault="00CC0AA9" w:rsidP="00DA6D62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заходу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9" w:rsidRPr="00E74640" w:rsidRDefault="00CC0AA9" w:rsidP="00D36C36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>Залучен</w:t>
            </w:r>
            <w:r w:rsidR="008E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7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експертів для розробки концепції заходів </w:t>
            </w:r>
          </w:p>
          <w:p w:rsidR="00CC0AA9" w:rsidRPr="00E74640" w:rsidRDefault="00CC0AA9" w:rsidP="00D36C36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E74640">
              <w:rPr>
                <w:rFonts w:ascii="Times New Roman" w:hAnsi="Times New Roman"/>
                <w:sz w:val="24"/>
                <w:szCs w:val="24"/>
              </w:rPr>
              <w:t>Розроб</w:t>
            </w:r>
            <w:r w:rsidR="008E14DB">
              <w:rPr>
                <w:rFonts w:ascii="Times New Roman" w:hAnsi="Times New Roman"/>
                <w:sz w:val="24"/>
                <w:szCs w:val="24"/>
              </w:rPr>
              <w:t xml:space="preserve">лено </w:t>
            </w:r>
            <w:r w:rsidRPr="00E74640">
              <w:rPr>
                <w:rFonts w:ascii="Times New Roman" w:hAnsi="Times New Roman"/>
                <w:sz w:val="24"/>
                <w:szCs w:val="24"/>
              </w:rPr>
              <w:t>методолог</w:t>
            </w:r>
            <w:r w:rsidR="008E38F9">
              <w:rPr>
                <w:rFonts w:ascii="Times New Roman" w:hAnsi="Times New Roman"/>
                <w:sz w:val="24"/>
                <w:szCs w:val="24"/>
              </w:rPr>
              <w:t>і</w:t>
            </w:r>
            <w:r w:rsidR="008E14DB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</w:p>
          <w:p w:rsidR="00CC0AA9" w:rsidRPr="00E74640" w:rsidRDefault="008E38F9" w:rsidP="00D36C36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76"/>
              </w:tabs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Анонсовано </w:t>
            </w:r>
            <w:r w:rsidR="00CC0AA9">
              <w:rPr>
                <w:rFonts w:ascii="Times New Roman" w:hAnsi="Times New Roman"/>
                <w:sz w:val="24"/>
                <w:szCs w:val="24"/>
              </w:rPr>
              <w:t>заход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C0AA9" w:rsidRPr="00E74640">
              <w:rPr>
                <w:rFonts w:ascii="Times New Roman" w:hAnsi="Times New Roman"/>
                <w:sz w:val="24"/>
                <w:szCs w:val="24"/>
              </w:rPr>
              <w:t xml:space="preserve"> серед релевантної аудиторії</w:t>
            </w:r>
          </w:p>
          <w:p w:rsidR="00CC0AA9" w:rsidRDefault="00CC0AA9" w:rsidP="006F7F11">
            <w:pPr>
              <w:pStyle w:val="a3"/>
              <w:numPr>
                <w:ilvl w:val="0"/>
                <w:numId w:val="8"/>
              </w:numPr>
              <w:spacing w:after="200" w:line="276" w:lineRule="auto"/>
              <w:ind w:left="176" w:hanging="284"/>
              <w:rPr>
                <w:rFonts w:ascii="Times New Roman" w:hAnsi="Times New Roman"/>
                <w:sz w:val="24"/>
                <w:szCs w:val="24"/>
              </w:rPr>
            </w:pPr>
            <w:r w:rsidRPr="006F7F11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8E38F9">
              <w:rPr>
                <w:rFonts w:ascii="Times New Roman" w:hAnsi="Times New Roman"/>
                <w:sz w:val="24"/>
                <w:szCs w:val="24"/>
              </w:rPr>
              <w:t>о зах</w:t>
            </w:r>
            <w:r w:rsidR="00BE7F2E">
              <w:rPr>
                <w:rFonts w:ascii="Times New Roman" w:hAnsi="Times New Roman"/>
                <w:sz w:val="24"/>
                <w:szCs w:val="24"/>
              </w:rPr>
              <w:t>о</w:t>
            </w:r>
            <w:r w:rsidR="008E38F9">
              <w:rPr>
                <w:rFonts w:ascii="Times New Roman" w:hAnsi="Times New Roman"/>
                <w:sz w:val="24"/>
                <w:szCs w:val="24"/>
              </w:rPr>
              <w:t>ди</w:t>
            </w:r>
          </w:p>
          <w:p w:rsidR="00DA5619" w:rsidRDefault="00DA5619" w:rsidP="00262A3D">
            <w:pPr>
              <w:pStyle w:val="a3"/>
              <w:spacing w:after="200" w:line="276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Pr="006F7F11" w:rsidRDefault="008E38F9" w:rsidP="008E38F9">
            <w:pPr>
              <w:pStyle w:val="a3"/>
              <w:spacing w:after="200" w:line="276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C18" w:rsidRPr="00A46AE9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ind w:left="7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Узагальнена оцінка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результатів проекту (програми)</w:t>
            </w:r>
          </w:p>
        </w:tc>
      </w:tr>
      <w:tr w:rsidR="004B5C18" w:rsidRPr="00A46AE9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5F7EBB" w:rsidP="008D64E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сприяє спроможності використовувати саморегуляцію для сприяння розвитку етичної, якісної журналістики, у тому числі у кризовому середовищі. Завдання передбачені</w:t>
            </w:r>
            <w:r w:rsidR="008D64EE">
              <w:rPr>
                <w:rFonts w:ascii="Times New Roman" w:hAnsi="Times New Roman"/>
                <w:sz w:val="24"/>
                <w:szCs w:val="24"/>
              </w:rPr>
              <w:t xml:space="preserve"> проектом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звітному періоді виконано. </w:t>
            </w:r>
          </w:p>
        </w:tc>
      </w:tr>
      <w:tr w:rsidR="004B5C18" w:rsidRPr="00A46AE9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18" w:rsidRDefault="004B5C18" w:rsidP="00DE4C37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Проблемні питання та/або пропозиції</w:t>
            </w:r>
          </w:p>
        </w:tc>
      </w:tr>
      <w:tr w:rsidR="004B5C18" w:rsidRPr="00A46AE9" w:rsidTr="00D22F1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8" w:rsidRDefault="00CC0AA9" w:rsidP="008E38F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74640">
              <w:rPr>
                <w:rFonts w:ascii="Times New Roman" w:hAnsi="Times New Roman"/>
                <w:sz w:val="24"/>
                <w:szCs w:val="24"/>
              </w:rPr>
              <w:t>Подальша потреба адаптації заходів проекту у  зв’язку з пандемією COVID-19</w:t>
            </w:r>
            <w:bookmarkEnd w:id="0"/>
          </w:p>
        </w:tc>
      </w:tr>
    </w:tbl>
    <w:p w:rsidR="004B5C18" w:rsidRDefault="004B5C18" w:rsidP="004B5C1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646"/>
        <w:gridCol w:w="5612"/>
      </w:tblGrid>
      <w:tr w:rsidR="004B5C18" w:rsidTr="00004D4F">
        <w:trPr>
          <w:trHeight w:val="1514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5325" w:rsidRDefault="003D5325" w:rsidP="00DE4C37">
            <w:pPr>
              <w:spacing w:before="12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8F9" w:rsidRPr="003D5325" w:rsidRDefault="008E38F9" w:rsidP="00DE4C37">
            <w:pPr>
              <w:spacing w:before="12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5C18" w:rsidRPr="003D5325" w:rsidRDefault="004B5C18" w:rsidP="00DE4C37">
            <w:pPr>
              <w:spacing w:before="12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325">
              <w:rPr>
                <w:rFonts w:ascii="Times New Roman" w:hAnsi="Times New Roman"/>
                <w:b/>
                <w:sz w:val="24"/>
                <w:szCs w:val="24"/>
              </w:rPr>
              <w:t>Координатор проекту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D5325" w:rsidRDefault="003D5325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C18" w:rsidRDefault="004B5C18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E38F9" w:rsidRDefault="008E38F9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642A9A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:rsidR="003D5325" w:rsidRDefault="003D5325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8F9" w:rsidRDefault="008E38F9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C18" w:rsidRDefault="003D5325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  <w:r w:rsidRPr="00642A9A">
              <w:rPr>
                <w:rFonts w:ascii="Times New Roman" w:hAnsi="Times New Roman"/>
                <w:b/>
                <w:sz w:val="24"/>
                <w:szCs w:val="24"/>
              </w:rPr>
              <w:t>Олександр ОБОДОВИЧ</w:t>
            </w:r>
            <w:r w:rsidR="004B5C18" w:rsidRPr="00642A9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6F7F11" w:rsidRDefault="006F7F11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7F11" w:rsidRDefault="006F7F11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7F11" w:rsidRDefault="006F7F11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7F11" w:rsidRDefault="006F7F11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7F11" w:rsidRDefault="006F7F11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6F7F11" w:rsidRPr="00642A9A" w:rsidRDefault="006F7F11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B5C18" w:rsidRDefault="004B5C18" w:rsidP="00DE4C37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38F9" w:rsidRDefault="008E38F9">
      <w:pPr>
        <w:rPr>
          <w:rStyle w:val="st46"/>
          <w:rFonts w:ascii="Times New Roman" w:hAnsi="Times New Roman"/>
          <w:sz w:val="24"/>
          <w:szCs w:val="24"/>
        </w:rPr>
      </w:pPr>
    </w:p>
    <w:p w:rsidR="008E38F9" w:rsidRDefault="008E38F9">
      <w:pPr>
        <w:rPr>
          <w:rStyle w:val="st46"/>
          <w:rFonts w:ascii="Times New Roman" w:hAnsi="Times New Roman"/>
          <w:sz w:val="24"/>
          <w:szCs w:val="24"/>
        </w:rPr>
      </w:pPr>
    </w:p>
    <w:p w:rsidR="008E38F9" w:rsidRDefault="008E38F9">
      <w:pPr>
        <w:rPr>
          <w:rStyle w:val="st46"/>
          <w:rFonts w:ascii="Times New Roman" w:hAnsi="Times New Roman"/>
          <w:sz w:val="24"/>
          <w:szCs w:val="24"/>
        </w:rPr>
      </w:pPr>
    </w:p>
    <w:p w:rsidR="008E38F9" w:rsidRDefault="008E38F9">
      <w:pPr>
        <w:rPr>
          <w:rStyle w:val="st46"/>
          <w:rFonts w:ascii="Times New Roman" w:hAnsi="Times New Roman"/>
          <w:sz w:val="24"/>
          <w:szCs w:val="24"/>
        </w:rPr>
      </w:pPr>
    </w:p>
    <w:p w:rsidR="008D4BD9" w:rsidRDefault="004B5C18">
      <w:r>
        <w:rPr>
          <w:rStyle w:val="st46"/>
          <w:rFonts w:ascii="Times New Roman" w:hAnsi="Times New Roman"/>
          <w:sz w:val="24"/>
          <w:szCs w:val="24"/>
        </w:rPr>
        <w:t xml:space="preserve">{Порядок доповнено додатком 7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623 від 04.07.2012</w:t>
      </w:r>
      <w:r>
        <w:rPr>
          <w:rStyle w:val="st42"/>
          <w:rFonts w:ascii="Times New Roman" w:hAnsi="Times New Roman"/>
          <w:sz w:val="24"/>
          <w:szCs w:val="24"/>
        </w:rPr>
        <w:t>;</w:t>
      </w:r>
      <w:r>
        <w:rPr>
          <w:rStyle w:val="st121"/>
          <w:rFonts w:ascii="Times New Roman" w:hAnsi="Times New Roman"/>
          <w:sz w:val="24"/>
          <w:szCs w:val="24"/>
        </w:rPr>
        <w:t xml:space="preserve"> в редакції Постанов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745 від 14.08.2019</w:t>
      </w:r>
      <w:r>
        <w:rPr>
          <w:rStyle w:val="st121"/>
          <w:rFonts w:ascii="Times New Roman" w:hAnsi="Times New Roman"/>
          <w:sz w:val="24"/>
          <w:szCs w:val="24"/>
        </w:rPr>
        <w:t xml:space="preserve">,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942</w:t>
      </w:r>
    </w:p>
    <w:sectPr w:rsidR="008D4BD9" w:rsidSect="00004D4F">
      <w:footerReference w:type="default" r:id="rId20"/>
      <w:pgSz w:w="15840" w:h="12240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3" w:rsidRDefault="004B0413" w:rsidP="00023E95">
      <w:r>
        <w:separator/>
      </w:r>
    </w:p>
  </w:endnote>
  <w:endnote w:type="continuationSeparator" w:id="0">
    <w:p w:rsidR="004B0413" w:rsidRDefault="004B0413" w:rsidP="0002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3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E95" w:rsidRDefault="00023E9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A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3E95" w:rsidRDefault="00023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3" w:rsidRDefault="004B0413" w:rsidP="00023E95">
      <w:r>
        <w:separator/>
      </w:r>
    </w:p>
  </w:footnote>
  <w:footnote w:type="continuationSeparator" w:id="0">
    <w:p w:rsidR="004B0413" w:rsidRDefault="004B0413" w:rsidP="0002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E20"/>
    <w:multiLevelType w:val="hybridMultilevel"/>
    <w:tmpl w:val="01DCA62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100660D8"/>
    <w:multiLevelType w:val="hybridMultilevel"/>
    <w:tmpl w:val="22D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5C5B"/>
    <w:multiLevelType w:val="hybridMultilevel"/>
    <w:tmpl w:val="DCEABFA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B2311"/>
    <w:multiLevelType w:val="hybridMultilevel"/>
    <w:tmpl w:val="A050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A3767A8"/>
    <w:multiLevelType w:val="hybridMultilevel"/>
    <w:tmpl w:val="2036399A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4DF45120"/>
    <w:multiLevelType w:val="hybridMultilevel"/>
    <w:tmpl w:val="12EC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7B78"/>
    <w:multiLevelType w:val="hybridMultilevel"/>
    <w:tmpl w:val="D86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70148"/>
    <w:multiLevelType w:val="hybridMultilevel"/>
    <w:tmpl w:val="E0769DE2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5F"/>
    <w:rsid w:val="0000145C"/>
    <w:rsid w:val="00004D4F"/>
    <w:rsid w:val="00023E95"/>
    <w:rsid w:val="000444A3"/>
    <w:rsid w:val="000B14A6"/>
    <w:rsid w:val="000E5895"/>
    <w:rsid w:val="0017635F"/>
    <w:rsid w:val="001A4822"/>
    <w:rsid w:val="00262A3D"/>
    <w:rsid w:val="00324A38"/>
    <w:rsid w:val="00332A04"/>
    <w:rsid w:val="003D5325"/>
    <w:rsid w:val="003E171F"/>
    <w:rsid w:val="004B0413"/>
    <w:rsid w:val="004B5C18"/>
    <w:rsid w:val="004E56B7"/>
    <w:rsid w:val="00586F48"/>
    <w:rsid w:val="005B0CAB"/>
    <w:rsid w:val="005F7EBB"/>
    <w:rsid w:val="00614A06"/>
    <w:rsid w:val="00642A9A"/>
    <w:rsid w:val="006D76CD"/>
    <w:rsid w:val="006F7F11"/>
    <w:rsid w:val="00857BA3"/>
    <w:rsid w:val="008D4BD9"/>
    <w:rsid w:val="008D64EE"/>
    <w:rsid w:val="008E14DB"/>
    <w:rsid w:val="008E38F9"/>
    <w:rsid w:val="008F326F"/>
    <w:rsid w:val="009D02A5"/>
    <w:rsid w:val="00A00B7E"/>
    <w:rsid w:val="00A909A8"/>
    <w:rsid w:val="00AD3CBF"/>
    <w:rsid w:val="00BE7F2E"/>
    <w:rsid w:val="00BF2A79"/>
    <w:rsid w:val="00C13ABD"/>
    <w:rsid w:val="00C74B55"/>
    <w:rsid w:val="00C97B19"/>
    <w:rsid w:val="00CC0AA9"/>
    <w:rsid w:val="00D22F14"/>
    <w:rsid w:val="00D36C36"/>
    <w:rsid w:val="00D968F8"/>
    <w:rsid w:val="00DA5619"/>
    <w:rsid w:val="00DA6D62"/>
    <w:rsid w:val="00E014E4"/>
    <w:rsid w:val="00F858B0"/>
    <w:rsid w:val="00F9085E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1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4B5C18"/>
    <w:rPr>
      <w:color w:val="000000"/>
    </w:rPr>
  </w:style>
  <w:style w:type="character" w:customStyle="1" w:styleId="st121">
    <w:name w:val="st121"/>
    <w:uiPriority w:val="99"/>
    <w:rsid w:val="004B5C18"/>
    <w:rPr>
      <w:i/>
      <w:iCs/>
      <w:color w:val="000000"/>
    </w:rPr>
  </w:style>
  <w:style w:type="character" w:customStyle="1" w:styleId="st131">
    <w:name w:val="st131"/>
    <w:uiPriority w:val="99"/>
    <w:rsid w:val="004B5C18"/>
    <w:rPr>
      <w:i/>
      <w:iCs/>
      <w:color w:val="0000FF"/>
    </w:rPr>
  </w:style>
  <w:style w:type="character" w:customStyle="1" w:styleId="st46">
    <w:name w:val="st46"/>
    <w:uiPriority w:val="99"/>
    <w:rsid w:val="004B5C18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5B0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F14"/>
    <w:rPr>
      <w:color w:val="0000FF" w:themeColor="hyperlink"/>
      <w:u w:val="single"/>
    </w:rPr>
  </w:style>
  <w:style w:type="paragraph" w:customStyle="1" w:styleId="Plain">
    <w:name w:val="Plain"/>
    <w:aliases w:val="TNR 12"/>
    <w:basedOn w:val="a5"/>
    <w:link w:val="PlainChar"/>
    <w:qFormat/>
    <w:rsid w:val="00AD3CBF"/>
    <w:pPr>
      <w:autoSpaceDE w:val="0"/>
      <w:autoSpaceDN w:val="0"/>
      <w:adjustRightInd w:val="0"/>
      <w:spacing w:before="120" w:after="120" w:line="276" w:lineRule="auto"/>
      <w:jc w:val="both"/>
    </w:pPr>
    <w:rPr>
      <w:rFonts w:ascii="Arial" w:eastAsiaTheme="minorEastAsia" w:hAnsi="Arial" w:cs="Times New Roman"/>
      <w:sz w:val="24"/>
      <w:szCs w:val="24"/>
      <w:lang w:val="en-GB" w:eastAsia="en-GB"/>
    </w:rPr>
  </w:style>
  <w:style w:type="character" w:customStyle="1" w:styleId="PlainChar">
    <w:name w:val="Plain Char"/>
    <w:aliases w:val="TNR 12 Char"/>
    <w:basedOn w:val="a6"/>
    <w:link w:val="Plain"/>
    <w:rsid w:val="00AD3CBF"/>
    <w:rPr>
      <w:rFonts w:ascii="Arial" w:eastAsiaTheme="minorEastAsia" w:hAnsi="Arial" w:cs="Times New Roman"/>
      <w:sz w:val="24"/>
      <w:szCs w:val="24"/>
      <w:lang w:val="en-GB" w:eastAsia="en-GB"/>
    </w:rPr>
  </w:style>
  <w:style w:type="paragraph" w:styleId="a5">
    <w:name w:val="Plain Text"/>
    <w:basedOn w:val="a"/>
    <w:link w:val="a6"/>
    <w:uiPriority w:val="99"/>
    <w:semiHidden/>
    <w:unhideWhenUsed/>
    <w:rsid w:val="00AD3CBF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D3CBF"/>
    <w:rPr>
      <w:rFonts w:ascii="Consolas" w:eastAsia="Times New Roman" w:hAnsi="Consolas" w:cs="Consolas"/>
      <w:sz w:val="21"/>
      <w:szCs w:val="21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23E95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E9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23E95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E95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1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4B5C18"/>
    <w:rPr>
      <w:color w:val="000000"/>
    </w:rPr>
  </w:style>
  <w:style w:type="character" w:customStyle="1" w:styleId="st121">
    <w:name w:val="st121"/>
    <w:uiPriority w:val="99"/>
    <w:rsid w:val="004B5C18"/>
    <w:rPr>
      <w:i/>
      <w:iCs/>
      <w:color w:val="000000"/>
    </w:rPr>
  </w:style>
  <w:style w:type="character" w:customStyle="1" w:styleId="st131">
    <w:name w:val="st131"/>
    <w:uiPriority w:val="99"/>
    <w:rsid w:val="004B5C18"/>
    <w:rPr>
      <w:i/>
      <w:iCs/>
      <w:color w:val="0000FF"/>
    </w:rPr>
  </w:style>
  <w:style w:type="character" w:customStyle="1" w:styleId="st46">
    <w:name w:val="st46"/>
    <w:uiPriority w:val="99"/>
    <w:rsid w:val="004B5C18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5B0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F14"/>
    <w:rPr>
      <w:color w:val="0000FF" w:themeColor="hyperlink"/>
      <w:u w:val="single"/>
    </w:rPr>
  </w:style>
  <w:style w:type="paragraph" w:customStyle="1" w:styleId="Plain">
    <w:name w:val="Plain"/>
    <w:aliases w:val="TNR 12"/>
    <w:basedOn w:val="a5"/>
    <w:link w:val="PlainChar"/>
    <w:qFormat/>
    <w:rsid w:val="00AD3CBF"/>
    <w:pPr>
      <w:autoSpaceDE w:val="0"/>
      <w:autoSpaceDN w:val="0"/>
      <w:adjustRightInd w:val="0"/>
      <w:spacing w:before="120" w:after="120" w:line="276" w:lineRule="auto"/>
      <w:jc w:val="both"/>
    </w:pPr>
    <w:rPr>
      <w:rFonts w:ascii="Arial" w:eastAsiaTheme="minorEastAsia" w:hAnsi="Arial" w:cs="Times New Roman"/>
      <w:sz w:val="24"/>
      <w:szCs w:val="24"/>
      <w:lang w:val="en-GB" w:eastAsia="en-GB"/>
    </w:rPr>
  </w:style>
  <w:style w:type="character" w:customStyle="1" w:styleId="PlainChar">
    <w:name w:val="Plain Char"/>
    <w:aliases w:val="TNR 12 Char"/>
    <w:basedOn w:val="a6"/>
    <w:link w:val="Plain"/>
    <w:rsid w:val="00AD3CBF"/>
    <w:rPr>
      <w:rFonts w:ascii="Arial" w:eastAsiaTheme="minorEastAsia" w:hAnsi="Arial" w:cs="Times New Roman"/>
      <w:sz w:val="24"/>
      <w:szCs w:val="24"/>
      <w:lang w:val="en-GB" w:eastAsia="en-GB"/>
    </w:rPr>
  </w:style>
  <w:style w:type="paragraph" w:styleId="a5">
    <w:name w:val="Plain Text"/>
    <w:basedOn w:val="a"/>
    <w:link w:val="a6"/>
    <w:uiPriority w:val="99"/>
    <w:semiHidden/>
    <w:unhideWhenUsed/>
    <w:rsid w:val="00AD3CBF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D3CBF"/>
    <w:rPr>
      <w:rFonts w:ascii="Consolas" w:eastAsia="Times New Roman" w:hAnsi="Consolas" w:cs="Consolas"/>
      <w:sz w:val="21"/>
      <w:szCs w:val="21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23E95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E95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23E95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E95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ce.org/uk/project-coordinator-in-ukraine/444529" TargetMode="External"/><Relationship Id="rId13" Type="http://schemas.openxmlformats.org/officeDocument/2006/relationships/hyperlink" Target="https://www.facebook.com/OSCE.Ukraine.Projects/posts/1277504709270564?__tn__=-R" TargetMode="External"/><Relationship Id="rId18" Type="http://schemas.openxmlformats.org/officeDocument/2006/relationships/hyperlink" Target="https://gurt.org.ua/news/informator/6362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SCE.Ukraine.Projects/posts/1119931041694599" TargetMode="External"/><Relationship Id="rId17" Type="http://schemas.openxmlformats.org/officeDocument/2006/relationships/hyperlink" Target="https://ua.interfax.com.ua/news/general/6372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tector.media/infospace/article/174237/2020-01-27-idealnii-shtorm-dlya-zakonoproektu-z-dezinformatsii-mediapidsumki-2026-sichnya-2020-rok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SCE.Ukraine.Projects/videos/22255164210887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je.org.ua/ua/news/obiznanist-spivrobitnykiv-zmi-shchodo-mehanizmiv-samoregulyuvannya-media-stavlennya-do-cyh?fbclid=IwAR00dLMg45erVJuWDAvFCpsqOlNxJbYc2Ny1PGmqgnyArQXNJ0YRcrNst1M" TargetMode="External"/><Relationship Id="rId10" Type="http://schemas.openxmlformats.org/officeDocument/2006/relationships/hyperlink" Target="https://www.facebook.com/OSCE.Ukraine.Projects/posts/1062416464112724?__tn__=-R" TargetMode="External"/><Relationship Id="rId19" Type="http://schemas.openxmlformats.org/officeDocument/2006/relationships/hyperlink" Target="https://www.prostir.ua/?library=doslidzhennya-obiznanist-spivrobitnykiv-zmi-schodo-mehanizmiv-samorehulyuvannya-media-stavlennya-do-tsyh-mehanizm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sce.org/project-coordinator-in-ukraine/465915?fbclid=IwAR0cnrhvktZ-q3jIGnoqCWBNvcSefHbYI6K06mkkaNIpVS1N1Did-Ed_NYY" TargetMode="External"/><Relationship Id="rId14" Type="http://schemas.openxmlformats.org/officeDocument/2006/relationships/hyperlink" Target="https://www.facebook.com/watch/?v=10646727639703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32</cp:revision>
  <cp:lastPrinted>2021-01-26T15:25:00Z</cp:lastPrinted>
  <dcterms:created xsi:type="dcterms:W3CDTF">2021-01-21T10:00:00Z</dcterms:created>
  <dcterms:modified xsi:type="dcterms:W3CDTF">2021-01-28T12:09:00Z</dcterms:modified>
</cp:coreProperties>
</file>